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67" w:rsidRPr="00AB7D76" w:rsidRDefault="00C57367" w:rsidP="005722D4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b/>
          <w:sz w:val="21"/>
          <w:szCs w:val="21"/>
        </w:rPr>
      </w:pPr>
      <w:r w:rsidRPr="00AB7D76">
        <w:rPr>
          <w:rFonts w:ascii="Arial Narrow" w:hAnsi="Arial Narrow" w:cs="Arial"/>
          <w:noProof/>
          <w:sz w:val="21"/>
          <w:szCs w:val="21"/>
          <w:lang w:eastAsia="sk-SK"/>
        </w:rPr>
        <w:drawing>
          <wp:anchor distT="0" distB="0" distL="114300" distR="114300" simplePos="0" relativeHeight="251659264" behindDoc="1" locked="0" layoutInCell="1" allowOverlap="1" wp14:anchorId="133B5B43" wp14:editId="6728CCF7">
            <wp:simplePos x="0" y="0"/>
            <wp:positionH relativeFrom="column">
              <wp:posOffset>5392420</wp:posOffset>
            </wp:positionH>
            <wp:positionV relativeFrom="paragraph">
              <wp:posOffset>47625</wp:posOffset>
            </wp:positionV>
            <wp:extent cx="967105" cy="934720"/>
            <wp:effectExtent l="0" t="0" r="4445" b="0"/>
            <wp:wrapNone/>
            <wp:docPr id="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3998" r="4596" b="8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367" w:rsidRPr="00AB7D76" w:rsidRDefault="00C57367" w:rsidP="005722D4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b/>
          <w:sz w:val="21"/>
          <w:szCs w:val="21"/>
        </w:rPr>
      </w:pPr>
      <w:r w:rsidRPr="00AB7D76">
        <w:rPr>
          <w:rFonts w:ascii="Arial Narrow" w:hAnsi="Arial Narrow" w:cs="Arial"/>
          <w:noProof/>
          <w:sz w:val="21"/>
          <w:szCs w:val="21"/>
          <w:lang w:eastAsia="sk-SK"/>
        </w:rPr>
        <w:drawing>
          <wp:inline distT="0" distB="0" distL="0" distR="0" wp14:anchorId="234BFF57" wp14:editId="358F7DC1">
            <wp:extent cx="946297" cy="600726"/>
            <wp:effectExtent l="0" t="0" r="635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Logo_3c_p_DE.jpg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97" cy="60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367" w:rsidRPr="00AB7D76" w:rsidRDefault="00C57367" w:rsidP="005722D4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b/>
          <w:sz w:val="21"/>
          <w:szCs w:val="21"/>
        </w:rPr>
      </w:pPr>
    </w:p>
    <w:p w:rsidR="00C57367" w:rsidRPr="00AB7D76" w:rsidRDefault="00C57367" w:rsidP="005722D4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b/>
          <w:sz w:val="21"/>
          <w:szCs w:val="21"/>
        </w:rPr>
      </w:pPr>
    </w:p>
    <w:p w:rsidR="00C57367" w:rsidRPr="00AB7D76" w:rsidRDefault="00C57367" w:rsidP="005722D4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b/>
          <w:sz w:val="21"/>
          <w:szCs w:val="21"/>
        </w:rPr>
      </w:pPr>
      <w:r w:rsidRPr="00AB7D76">
        <w:rPr>
          <w:rFonts w:ascii="Arial Narrow" w:hAnsi="Arial Narrow" w:cs="Arial"/>
          <w:b/>
          <w:sz w:val="21"/>
          <w:szCs w:val="21"/>
        </w:rPr>
        <w:t>Súhlas so zaradením elektronického zariadenia do poistenia (ďalej aj ako „Súhlas“)</w:t>
      </w:r>
    </w:p>
    <w:p w:rsidR="00C57367" w:rsidRPr="00AB7D76" w:rsidRDefault="00C57367" w:rsidP="005722D4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b/>
          <w:sz w:val="21"/>
          <w:szCs w:val="21"/>
        </w:rPr>
      </w:pPr>
    </w:p>
    <w:p w:rsidR="002A26B1" w:rsidRPr="00AB7D76" w:rsidRDefault="00CD629B" w:rsidP="005722D4">
      <w:pPr>
        <w:pStyle w:val="Obyajntext"/>
        <w:numPr>
          <w:ilvl w:val="0"/>
          <w:numId w:val="22"/>
        </w:numPr>
        <w:tabs>
          <w:tab w:val="left" w:pos="10206"/>
        </w:tabs>
        <w:suppressAutoHyphens/>
        <w:jc w:val="both"/>
        <w:rPr>
          <w:rFonts w:ascii="Arial Narrow" w:hAnsi="Arial Narrow" w:cs="Arial"/>
          <w:b/>
          <w:sz w:val="21"/>
          <w:szCs w:val="21"/>
        </w:rPr>
      </w:pPr>
      <w:r w:rsidRPr="00AB7D76">
        <w:rPr>
          <w:rFonts w:ascii="Arial Narrow" w:hAnsi="Arial Narrow" w:cs="Arial"/>
          <w:b/>
          <w:sz w:val="21"/>
          <w:szCs w:val="21"/>
        </w:rPr>
        <w:t>Všeobecné ustanovenia</w:t>
      </w:r>
    </w:p>
    <w:p w:rsidR="002A26B1" w:rsidRPr="00AB7D76" w:rsidRDefault="00C57367" w:rsidP="005722D4">
      <w:pPr>
        <w:pStyle w:val="Obyajntext"/>
        <w:numPr>
          <w:ilvl w:val="0"/>
          <w:numId w:val="23"/>
        </w:numPr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b/>
          <w:sz w:val="21"/>
          <w:szCs w:val="21"/>
        </w:rPr>
        <w:t xml:space="preserve">Zákazník </w:t>
      </w:r>
      <w:r w:rsidRPr="00AB7D76">
        <w:rPr>
          <w:rFonts w:ascii="Arial Narrow" w:hAnsi="Arial Narrow" w:cs="Arial"/>
          <w:sz w:val="21"/>
          <w:szCs w:val="21"/>
        </w:rPr>
        <w:t>(ďalej aj "poistený"):</w:t>
      </w:r>
    </w:p>
    <w:p w:rsidR="00C57367" w:rsidRPr="00AB7D76" w:rsidRDefault="00C57367" w:rsidP="005722D4">
      <w:pPr>
        <w:pStyle w:val="Default"/>
        <w:spacing w:line="276" w:lineRule="auto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C57367" w:rsidP="005722D4">
      <w:pPr>
        <w:pStyle w:val="Obyajntext"/>
        <w:tabs>
          <w:tab w:val="left" w:pos="10206"/>
        </w:tabs>
        <w:suppressAutoHyphens/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Meno a Priezvisko/Názov:…………..………………………………...... RČ/IČO: …………………………………….</w:t>
      </w:r>
    </w:p>
    <w:p w:rsidR="00C57367" w:rsidRPr="00AB7D76" w:rsidRDefault="00C57367" w:rsidP="005722D4">
      <w:pPr>
        <w:pStyle w:val="Obyajntext"/>
        <w:tabs>
          <w:tab w:val="left" w:pos="10206"/>
        </w:tabs>
        <w:suppressAutoHyphens/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Ulica, č.:………………………………………………………………....... Obec:………………………………………..</w:t>
      </w:r>
    </w:p>
    <w:p w:rsidR="00C57367" w:rsidRPr="00AB7D76" w:rsidRDefault="00C57367" w:rsidP="005722D4">
      <w:pPr>
        <w:pStyle w:val="Obyajntext"/>
        <w:tabs>
          <w:tab w:val="left" w:pos="10206"/>
        </w:tabs>
        <w:suppressAutoHyphens/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PSČ:…………………… Tel. kontakt:………………………………...... E-mail:……………………………………….</w:t>
      </w:r>
    </w:p>
    <w:p w:rsidR="00C57367" w:rsidRPr="00AB7D76" w:rsidRDefault="00C57367" w:rsidP="005722D4">
      <w:pPr>
        <w:pStyle w:val="Obyajntext"/>
        <w:tabs>
          <w:tab w:val="left" w:pos="10206"/>
        </w:tabs>
        <w:suppressAutoHyphens/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Pri právnickej osobe:</w:t>
      </w:r>
    </w:p>
    <w:p w:rsidR="00C57367" w:rsidRPr="00AB7D76" w:rsidRDefault="00C57367" w:rsidP="005722D4">
      <w:pPr>
        <w:pStyle w:val="Obyajntext"/>
        <w:tabs>
          <w:tab w:val="left" w:pos="10206"/>
        </w:tabs>
        <w:suppressAutoHyphens/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zapísaná v Obchodnom registri Okresného súdu: ……………………………………………………………….......</w:t>
      </w:r>
    </w:p>
    <w:p w:rsidR="00C57367" w:rsidRPr="00AB7D76" w:rsidRDefault="00C57367" w:rsidP="005722D4">
      <w:pPr>
        <w:pStyle w:val="Obyajntext"/>
        <w:tabs>
          <w:tab w:val="left" w:pos="10206"/>
        </w:tabs>
        <w:suppressAutoHyphens/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oddiel:………………. vložka č:……………………… konajúca osoba: …………………………………………......</w:t>
      </w:r>
    </w:p>
    <w:p w:rsidR="00C57367" w:rsidRPr="00AB7D76" w:rsidRDefault="00C57367" w:rsidP="005722D4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C57367" w:rsidRPr="00AB7D76" w:rsidRDefault="00C57367" w:rsidP="005722D4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 xml:space="preserve">vyjadruje súhlas, aby ho spoločnosť Slovak Telekom, a.s., </w:t>
      </w:r>
      <w:r w:rsidR="00997794" w:rsidRPr="00AB7D76">
        <w:rPr>
          <w:rFonts w:ascii="Arial Narrow" w:hAnsi="Arial Narrow" w:cs="Arial"/>
          <w:sz w:val="21"/>
          <w:szCs w:val="21"/>
        </w:rPr>
        <w:t>Bajkalská 28, 817 62 Bratislava, IČO: 35 763 469, zapísaná v Obchodnom registri Okresného súdu Bratislava I., Oddiel: Sa, vložka číslo: 2081/B</w:t>
      </w:r>
      <w:r w:rsidRPr="00AB7D76">
        <w:rPr>
          <w:rFonts w:ascii="Arial Narrow" w:hAnsi="Arial Narrow" w:cs="Arial"/>
          <w:sz w:val="21"/>
          <w:szCs w:val="21"/>
        </w:rPr>
        <w:t xml:space="preserve"> (ďalej ak</w:t>
      </w:r>
      <w:r w:rsidR="00AB7D76">
        <w:rPr>
          <w:rFonts w:ascii="Arial Narrow" w:hAnsi="Arial Narrow" w:cs="Arial"/>
          <w:sz w:val="21"/>
          <w:szCs w:val="21"/>
        </w:rPr>
        <w:t>o „Slovak Telekom, a. s.</w:t>
      </w:r>
      <w:r w:rsidRPr="00AB7D76">
        <w:rPr>
          <w:rFonts w:ascii="Arial Narrow" w:hAnsi="Arial Narrow" w:cs="Arial"/>
          <w:sz w:val="21"/>
          <w:szCs w:val="21"/>
        </w:rPr>
        <w:t xml:space="preserve">“, alebo tiež „Poistník“) </w:t>
      </w:r>
      <w:r w:rsidRPr="00AB7D76">
        <w:rPr>
          <w:rFonts w:ascii="Arial Narrow" w:hAnsi="Arial Narrow" w:cs="Arial"/>
          <w:b/>
          <w:sz w:val="21"/>
          <w:szCs w:val="21"/>
        </w:rPr>
        <w:t xml:space="preserve">dňom </w:t>
      </w:r>
      <w:r w:rsidR="00E02AA8" w:rsidRPr="00AB7D76">
        <w:rPr>
          <w:rFonts w:ascii="Arial Narrow" w:hAnsi="Arial Narrow" w:cs="Arial"/>
          <w:b/>
          <w:sz w:val="21"/>
          <w:szCs w:val="21"/>
        </w:rPr>
        <w:t>účinnosti</w:t>
      </w:r>
      <w:r w:rsidR="00E02AA8" w:rsidRPr="00AB7D76">
        <w:rPr>
          <w:rFonts w:ascii="Arial Narrow" w:hAnsi="Arial Narrow" w:cs="Arial"/>
          <w:sz w:val="21"/>
          <w:szCs w:val="21"/>
        </w:rPr>
        <w:t xml:space="preserve"> tohto S</w:t>
      </w:r>
      <w:r w:rsidR="00ED7849" w:rsidRPr="00AB7D76">
        <w:rPr>
          <w:rFonts w:ascii="Arial Narrow" w:hAnsi="Arial Narrow" w:cs="Arial"/>
          <w:sz w:val="21"/>
          <w:szCs w:val="21"/>
        </w:rPr>
        <w:t>ú</w:t>
      </w:r>
      <w:r w:rsidR="00E02AA8" w:rsidRPr="00AB7D76">
        <w:rPr>
          <w:rFonts w:ascii="Arial Narrow" w:hAnsi="Arial Narrow" w:cs="Arial"/>
          <w:sz w:val="21"/>
          <w:szCs w:val="21"/>
        </w:rPr>
        <w:t>hlasu zaradila</w:t>
      </w:r>
      <w:r w:rsidRPr="00AB7D76">
        <w:rPr>
          <w:rFonts w:ascii="Arial Narrow" w:hAnsi="Arial Narrow" w:cs="Arial"/>
          <w:sz w:val="21"/>
          <w:szCs w:val="21"/>
        </w:rPr>
        <w:t xml:space="preserve"> me</w:t>
      </w:r>
      <w:r w:rsidR="00AB7D76">
        <w:rPr>
          <w:rFonts w:ascii="Arial Narrow" w:hAnsi="Arial Narrow" w:cs="Arial"/>
          <w:sz w:val="21"/>
          <w:szCs w:val="21"/>
        </w:rPr>
        <w:t xml:space="preserve">dzi poistené osoby s poistením </w:t>
      </w:r>
      <w:r w:rsidRPr="00AB7D76">
        <w:rPr>
          <w:rFonts w:ascii="Arial Narrow" w:hAnsi="Arial Narrow" w:cs="Arial"/>
          <w:sz w:val="21"/>
          <w:szCs w:val="21"/>
        </w:rPr>
        <w:t xml:space="preserve">elektronických zariadení zakúpených </w:t>
      </w:r>
      <w:r w:rsidR="00E02AA8" w:rsidRPr="00AB7D76">
        <w:rPr>
          <w:rFonts w:ascii="Arial Narrow" w:hAnsi="Arial Narrow" w:cs="Arial"/>
          <w:sz w:val="21"/>
          <w:szCs w:val="21"/>
        </w:rPr>
        <w:t>od</w:t>
      </w:r>
      <w:r w:rsidRPr="00AB7D76">
        <w:rPr>
          <w:rFonts w:ascii="Arial Narrow" w:hAnsi="Arial Narrow" w:cs="Arial"/>
          <w:sz w:val="21"/>
          <w:szCs w:val="21"/>
        </w:rPr>
        <w:t xml:space="preserve"> Slovak Telekom, a.s. podľa Poistnej zmluvy skupinového poistenia č. </w:t>
      </w:r>
      <w:r w:rsidRPr="00AB7D76">
        <w:rPr>
          <w:rFonts w:ascii="Arial Narrow" w:hAnsi="Arial Narrow" w:cs="Arial"/>
          <w:bCs/>
          <w:sz w:val="21"/>
          <w:szCs w:val="21"/>
        </w:rPr>
        <w:t>9050588198</w:t>
      </w:r>
      <w:r w:rsidR="00997794" w:rsidRPr="00AB7D76">
        <w:rPr>
          <w:rFonts w:ascii="Arial Narrow" w:hAnsi="Arial Narrow" w:cs="Arial"/>
          <w:bCs/>
          <w:sz w:val="21"/>
          <w:szCs w:val="21"/>
        </w:rPr>
        <w:t xml:space="preserve"> (ďalej len „poistenie“)</w:t>
      </w:r>
      <w:r w:rsidRPr="00AB7D76">
        <w:rPr>
          <w:rFonts w:ascii="Arial Narrow" w:hAnsi="Arial Narrow" w:cs="Arial"/>
          <w:sz w:val="21"/>
          <w:szCs w:val="21"/>
        </w:rPr>
        <w:t>, uzatvorenej medzi Slovak Telekom, a.s. a Generali Poisťovňa, a. s., Lamačská cesta 3/A, 841 04 Bratislava, Slovenská republika, IČO: 35</w:t>
      </w:r>
      <w:r w:rsidR="00AB7D76">
        <w:rPr>
          <w:rFonts w:ascii="Arial Narrow" w:hAnsi="Arial Narrow" w:cs="Arial"/>
          <w:sz w:val="21"/>
          <w:szCs w:val="21"/>
        </w:rPr>
        <w:t> </w:t>
      </w:r>
      <w:r w:rsidRPr="00AB7D76">
        <w:rPr>
          <w:rFonts w:ascii="Arial Narrow" w:hAnsi="Arial Narrow" w:cs="Arial"/>
          <w:sz w:val="21"/>
          <w:szCs w:val="21"/>
        </w:rPr>
        <w:t>709</w:t>
      </w:r>
      <w:r w:rsidR="00AB7D76">
        <w:rPr>
          <w:rFonts w:ascii="Arial Narrow" w:hAnsi="Arial Narrow" w:cs="Arial"/>
          <w:sz w:val="21"/>
          <w:szCs w:val="21"/>
        </w:rPr>
        <w:t xml:space="preserve"> </w:t>
      </w:r>
      <w:r w:rsidRPr="00AB7D76">
        <w:rPr>
          <w:rFonts w:ascii="Arial Narrow" w:hAnsi="Arial Narrow" w:cs="Arial"/>
          <w:sz w:val="21"/>
          <w:szCs w:val="21"/>
        </w:rPr>
        <w:t>332, zapísaná v obchodnom registri Okresného súdu Bratislava I, oddiel: Sa, vložka č.: 1325/B, spoločnosť patrí do skupiny Generali, ktorá je uvedená v talianskom zozname skupín poisťovní vedeným IVASS (ďalej tiež „poisťovateľ“)</w:t>
      </w:r>
      <w:r w:rsidR="00997794" w:rsidRPr="00AB7D76">
        <w:rPr>
          <w:rFonts w:ascii="Arial Narrow" w:hAnsi="Arial Narrow" w:cs="Arial"/>
          <w:sz w:val="21"/>
          <w:szCs w:val="21"/>
        </w:rPr>
        <w:t xml:space="preserve"> a podľa podmienok uvedených v tomto Súhlase</w:t>
      </w:r>
      <w:r w:rsidRPr="00AB7D76">
        <w:rPr>
          <w:rFonts w:ascii="Arial Narrow" w:hAnsi="Arial Narrow" w:cs="Arial"/>
          <w:sz w:val="21"/>
          <w:szCs w:val="21"/>
        </w:rPr>
        <w:t xml:space="preserve">. </w:t>
      </w:r>
    </w:p>
    <w:p w:rsidR="00983874" w:rsidRPr="00AB7D76" w:rsidRDefault="00983874" w:rsidP="005722D4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983874" w:rsidRPr="00AB7D76" w:rsidRDefault="00983874" w:rsidP="005722D4">
      <w:pPr>
        <w:pStyle w:val="Obyajntext"/>
        <w:numPr>
          <w:ilvl w:val="0"/>
          <w:numId w:val="23"/>
        </w:numPr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 xml:space="preserve">Pojmy s veľkými začiatočnými písmenami, ktoré sú bez výslovnej definície používané v tomto Súhlase budú mať význam, ktorý je im pripisovaný v Poistnej zmluve skupinového poistenia. </w:t>
      </w:r>
    </w:p>
    <w:p w:rsidR="00C57367" w:rsidRPr="00AB7D76" w:rsidRDefault="00C57367" w:rsidP="005722D4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2A26B1" w:rsidRPr="00AB7D76" w:rsidRDefault="002A26B1" w:rsidP="005722D4">
      <w:pPr>
        <w:pStyle w:val="Obyajntext"/>
        <w:numPr>
          <w:ilvl w:val="0"/>
          <w:numId w:val="22"/>
        </w:numPr>
        <w:tabs>
          <w:tab w:val="left" w:pos="10206"/>
        </w:tabs>
        <w:suppressAutoHyphens/>
        <w:jc w:val="both"/>
        <w:rPr>
          <w:rFonts w:ascii="Arial Narrow" w:hAnsi="Arial Narrow" w:cs="Arial"/>
          <w:b/>
          <w:sz w:val="21"/>
          <w:szCs w:val="21"/>
        </w:rPr>
      </w:pPr>
      <w:r w:rsidRPr="00AB7D76">
        <w:rPr>
          <w:rFonts w:ascii="Arial Narrow" w:hAnsi="Arial Narrow" w:cs="Arial"/>
          <w:b/>
          <w:sz w:val="21"/>
          <w:szCs w:val="21"/>
        </w:rPr>
        <w:t>Predmet poistenia</w:t>
      </w:r>
    </w:p>
    <w:p w:rsidR="007A3758" w:rsidRPr="00AB7D76" w:rsidRDefault="007A3758" w:rsidP="005722D4">
      <w:pPr>
        <w:pStyle w:val="Obyajntext"/>
        <w:tabs>
          <w:tab w:val="left" w:pos="10206"/>
        </w:tabs>
        <w:suppressAutoHyphens/>
        <w:ind w:left="1080"/>
        <w:jc w:val="both"/>
        <w:rPr>
          <w:rFonts w:ascii="Arial Narrow" w:hAnsi="Arial Narrow" w:cs="Arial"/>
          <w:b/>
          <w:sz w:val="21"/>
          <w:szCs w:val="21"/>
        </w:rPr>
      </w:pPr>
    </w:p>
    <w:p w:rsidR="00D54BE2" w:rsidRPr="00AB7D76" w:rsidRDefault="00D54BE2" w:rsidP="005722D4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Predmetom poistenia je individuálne Elektronické zariadenie</w:t>
      </w:r>
      <w:r w:rsidR="00EE7BA0" w:rsidRPr="00AB7D76">
        <w:rPr>
          <w:rFonts w:ascii="Arial Narrow" w:hAnsi="Arial Narrow" w:cs="Arial"/>
          <w:sz w:val="21"/>
          <w:szCs w:val="21"/>
        </w:rPr>
        <w:t xml:space="preserve"> (</w:t>
      </w:r>
      <w:r w:rsidR="00AB7D76" w:rsidRPr="00AB7D76">
        <w:rPr>
          <w:rFonts w:ascii="Arial Narrow" w:hAnsi="Arial Narrow" w:cs="Arial"/>
          <w:sz w:val="21"/>
          <w:szCs w:val="21"/>
        </w:rPr>
        <w:t>ďalej</w:t>
      </w:r>
      <w:r w:rsidR="00EE7BA0" w:rsidRPr="00AB7D76">
        <w:rPr>
          <w:rFonts w:ascii="Arial Narrow" w:hAnsi="Arial Narrow" w:cs="Arial"/>
          <w:sz w:val="21"/>
          <w:szCs w:val="21"/>
        </w:rPr>
        <w:t xml:space="preserve"> aj ako „EZ“)</w:t>
      </w:r>
      <w:r w:rsidRPr="00AB7D76">
        <w:rPr>
          <w:rFonts w:ascii="Arial Narrow" w:hAnsi="Arial Narrow" w:cs="Arial"/>
          <w:sz w:val="21"/>
          <w:szCs w:val="21"/>
        </w:rPr>
        <w:t xml:space="preserve"> definované v nasledovnej tabuľke č. 1:</w:t>
      </w:r>
    </w:p>
    <w:p w:rsidR="00D54BE2" w:rsidRPr="00AB7D76" w:rsidRDefault="00D54BE2" w:rsidP="005722D4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D54BE2" w:rsidRPr="00AB7D76" w:rsidRDefault="00D54BE2" w:rsidP="005722D4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Tabuľka č. 1</w:t>
      </w:r>
      <w:r w:rsidR="00E02AA8" w:rsidRPr="00AB7D76">
        <w:rPr>
          <w:rFonts w:ascii="Arial Narrow" w:hAnsi="Arial Narrow" w:cs="Arial"/>
          <w:sz w:val="21"/>
          <w:szCs w:val="21"/>
        </w:rPr>
        <w:t xml:space="preserve"> </w:t>
      </w:r>
      <w:r w:rsidRPr="00AB7D76">
        <w:rPr>
          <w:rFonts w:ascii="Arial Narrow" w:hAnsi="Arial Narrow" w:cs="Arial"/>
          <w:sz w:val="21"/>
          <w:szCs w:val="21"/>
        </w:rPr>
        <w:t>Predmet poistenia a</w:t>
      </w:r>
      <w:r w:rsidR="00945772" w:rsidRPr="00AB7D76">
        <w:rPr>
          <w:rFonts w:ascii="Arial Narrow" w:hAnsi="Arial Narrow" w:cs="Arial"/>
          <w:sz w:val="21"/>
          <w:szCs w:val="21"/>
        </w:rPr>
        <w:t> výška poplatku za</w:t>
      </w:r>
      <w:r w:rsidR="00EE7BA0" w:rsidRPr="00AB7D76">
        <w:rPr>
          <w:rFonts w:ascii="Arial Narrow" w:hAnsi="Arial Narrow" w:cs="Arial"/>
          <w:sz w:val="21"/>
          <w:szCs w:val="21"/>
        </w:rPr>
        <w:t xml:space="preserve"> zaradenie EZ do </w:t>
      </w:r>
      <w:r w:rsidR="00945772" w:rsidRPr="00AB7D76">
        <w:rPr>
          <w:rFonts w:ascii="Arial Narrow" w:hAnsi="Arial Narrow" w:cs="Arial"/>
          <w:sz w:val="21"/>
          <w:szCs w:val="21"/>
        </w:rPr>
        <w:t>poisteni</w:t>
      </w:r>
      <w:r w:rsidR="00EE7BA0" w:rsidRPr="00AB7D76">
        <w:rPr>
          <w:rFonts w:ascii="Arial Narrow" w:hAnsi="Arial Narrow" w:cs="Arial"/>
          <w:sz w:val="21"/>
          <w:szCs w:val="21"/>
        </w:rPr>
        <w:t>a</w:t>
      </w:r>
    </w:p>
    <w:tbl>
      <w:tblPr>
        <w:tblW w:w="1073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837"/>
        <w:gridCol w:w="918"/>
        <w:gridCol w:w="1378"/>
        <w:gridCol w:w="1089"/>
        <w:gridCol w:w="1225"/>
        <w:gridCol w:w="1531"/>
        <w:gridCol w:w="1071"/>
      </w:tblGrid>
      <w:tr w:rsidR="00EE7BA0" w:rsidRPr="00AB7D76" w:rsidTr="005722D4">
        <w:trPr>
          <w:trHeight w:val="293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99" w:fill="C0C0C0"/>
            <w:vAlign w:val="center"/>
            <w:hideMark/>
          </w:tcPr>
          <w:p w:rsidR="00997794" w:rsidRPr="00AB7D76" w:rsidRDefault="00997794" w:rsidP="005722D4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</w:pPr>
            <w:r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 xml:space="preserve">Špecifikácia elektronického zariadenia a jeho </w:t>
            </w:r>
            <w:r w:rsidR="00945772"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>príslušenstva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99" w:fill="C0C0C0"/>
            <w:vAlign w:val="center"/>
            <w:hideMark/>
          </w:tcPr>
          <w:p w:rsidR="00997794" w:rsidRPr="00AB7D76" w:rsidRDefault="00997794" w:rsidP="005722D4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</w:pPr>
            <w:r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>Výrobné číslo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C0C0C0"/>
            <w:vAlign w:val="center"/>
            <w:hideMark/>
          </w:tcPr>
          <w:p w:rsidR="00997794" w:rsidRPr="00AB7D76" w:rsidRDefault="00997794" w:rsidP="005722D4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</w:pPr>
            <w:r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>Rok predaja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99" w:fill="C0C0C0"/>
            <w:vAlign w:val="center"/>
            <w:hideMark/>
          </w:tcPr>
          <w:p w:rsidR="00997794" w:rsidRPr="00AB7D76" w:rsidRDefault="0024541F" w:rsidP="005722D4">
            <w:pPr>
              <w:jc w:val="both"/>
              <w:rPr>
                <w:rFonts w:ascii="Arial Narrow" w:hAnsi="Arial Narrow" w:cs="Arial"/>
                <w:sz w:val="21"/>
                <w:szCs w:val="21"/>
                <w:lang w:eastAsia="sk-SK"/>
              </w:rPr>
            </w:pPr>
            <w:r>
              <w:rPr>
                <w:rFonts w:ascii="Arial Narrow" w:hAnsi="Arial Narrow" w:cs="Arial"/>
                <w:sz w:val="21"/>
                <w:szCs w:val="21"/>
                <w:lang w:eastAsia="sk-SK"/>
              </w:rPr>
              <w:t xml:space="preserve">Poistná suma (Predajná </w:t>
            </w:r>
            <w:r w:rsidR="00997794" w:rsidRPr="00AB7D76">
              <w:rPr>
                <w:rFonts w:ascii="Arial Narrow" w:hAnsi="Arial Narrow" w:cs="Arial"/>
                <w:sz w:val="21"/>
                <w:szCs w:val="21"/>
                <w:lang w:eastAsia="sk-SK"/>
              </w:rPr>
              <w:t>cena) €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99" w:fill="C0C0C0"/>
            <w:vAlign w:val="center"/>
            <w:hideMark/>
          </w:tcPr>
          <w:p w:rsidR="00997794" w:rsidRPr="00AB7D76" w:rsidRDefault="00997794" w:rsidP="005722D4">
            <w:pPr>
              <w:jc w:val="both"/>
              <w:rPr>
                <w:rFonts w:ascii="Arial Narrow" w:hAnsi="Arial Narrow" w:cs="Arial"/>
                <w:sz w:val="21"/>
                <w:szCs w:val="21"/>
                <w:lang w:eastAsia="sk-SK"/>
              </w:rPr>
            </w:pPr>
            <w:r w:rsidRPr="00AB7D76">
              <w:rPr>
                <w:rFonts w:ascii="Arial Narrow" w:hAnsi="Arial Narrow" w:cs="Arial"/>
                <w:sz w:val="21"/>
                <w:szCs w:val="21"/>
                <w:lang w:eastAsia="sk-SK"/>
              </w:rPr>
              <w:t>Spoluúčasť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C0C0C0"/>
            <w:vAlign w:val="center"/>
            <w:hideMark/>
          </w:tcPr>
          <w:p w:rsidR="00997794" w:rsidRPr="00AB7D76" w:rsidRDefault="00907F12" w:rsidP="005722D4">
            <w:pPr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</w:pPr>
            <w:r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>Mesačn</w:t>
            </w:r>
            <w:r w:rsidR="00EE7BA0"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>á splátka</w:t>
            </w:r>
            <w:r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 xml:space="preserve"> poplatk</w:t>
            </w:r>
            <w:r w:rsidR="00EE7BA0"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>u</w:t>
            </w:r>
            <w:r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 xml:space="preserve"> za </w:t>
            </w:r>
            <w:r w:rsidR="0024541F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 xml:space="preserve">zaradenie EZ </w:t>
            </w:r>
            <w:r w:rsidR="00EE7BA0"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 xml:space="preserve">do </w:t>
            </w:r>
            <w:r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>poisteni</w:t>
            </w:r>
            <w:r w:rsidR="00EE7BA0"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>a</w:t>
            </w:r>
            <w:r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 xml:space="preserve"> </w:t>
            </w:r>
            <w:r w:rsidR="00997794"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>€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99" w:fill="C0C0C0"/>
            <w:vAlign w:val="center"/>
            <w:hideMark/>
          </w:tcPr>
          <w:p w:rsidR="00997794" w:rsidRPr="00AB7D76" w:rsidRDefault="00907F12" w:rsidP="005722D4">
            <w:pPr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</w:pPr>
            <w:r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>Poplatok</w:t>
            </w:r>
            <w:r w:rsidR="00EE7BA0"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 xml:space="preserve"> spolu</w:t>
            </w:r>
            <w:r w:rsidR="0024541F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 xml:space="preserve"> za </w:t>
            </w:r>
            <w:r w:rsidR="00945772"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 xml:space="preserve">jedno </w:t>
            </w:r>
            <w:r w:rsidR="00997794"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 xml:space="preserve"> poistné obdobie</w:t>
            </w:r>
            <w:r w:rsidR="0024541F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 xml:space="preserve"> €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C0C0C0"/>
            <w:vAlign w:val="center"/>
            <w:hideMark/>
          </w:tcPr>
          <w:p w:rsidR="00997794" w:rsidRPr="00AB7D76" w:rsidRDefault="00E02AA8" w:rsidP="005722D4">
            <w:pPr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</w:pPr>
            <w:r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 xml:space="preserve">Celková výška poplatku za </w:t>
            </w:r>
            <w:r w:rsidR="00ED7849"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 xml:space="preserve">celú </w:t>
            </w:r>
            <w:r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>poistnú dobu</w:t>
            </w:r>
            <w:r w:rsidR="0024541F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 xml:space="preserve"> </w:t>
            </w:r>
            <w:r w:rsidR="00997794"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>€</w:t>
            </w:r>
          </w:p>
        </w:tc>
      </w:tr>
      <w:tr w:rsidR="00EE7BA0" w:rsidRPr="00AB7D76" w:rsidTr="005722D4">
        <w:trPr>
          <w:trHeight w:val="617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7794" w:rsidRPr="00AB7D76" w:rsidRDefault="00997794" w:rsidP="005722D4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97794" w:rsidRPr="00AB7D76" w:rsidRDefault="00997794" w:rsidP="005722D4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94" w:rsidRPr="00AB7D76" w:rsidRDefault="00997794" w:rsidP="005722D4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794" w:rsidRPr="00AB7D76" w:rsidRDefault="00997794" w:rsidP="005722D4">
            <w:pPr>
              <w:jc w:val="both"/>
              <w:rPr>
                <w:rFonts w:ascii="Arial Narrow" w:hAnsi="Arial Narrow" w:cs="Arial"/>
                <w:sz w:val="21"/>
                <w:szCs w:val="21"/>
                <w:lang w:eastAsia="sk-SK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794" w:rsidRPr="00AB7D76" w:rsidRDefault="00997794" w:rsidP="005722D4">
            <w:pPr>
              <w:jc w:val="both"/>
              <w:rPr>
                <w:rFonts w:ascii="Arial Narrow" w:hAnsi="Arial Narrow" w:cs="Arial"/>
                <w:sz w:val="21"/>
                <w:szCs w:val="21"/>
                <w:lang w:eastAsia="sk-SK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94" w:rsidRPr="00AB7D76" w:rsidRDefault="00997794" w:rsidP="005722D4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794" w:rsidRPr="00AB7D76" w:rsidRDefault="00997794" w:rsidP="005722D4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94" w:rsidRPr="00AB7D76" w:rsidRDefault="00997794" w:rsidP="005722D4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EE7BA0" w:rsidRPr="00AB7D76" w:rsidTr="005722D4">
        <w:trPr>
          <w:trHeight w:val="59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94" w:rsidRPr="00AB7D76" w:rsidRDefault="00997794" w:rsidP="005722D4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</w:pPr>
            <w:r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94" w:rsidRPr="00AB7D76" w:rsidRDefault="00997794" w:rsidP="005722D4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</w:pPr>
            <w:r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97794" w:rsidRPr="00AB7D76" w:rsidRDefault="00997794" w:rsidP="005722D4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94" w:rsidRPr="00AB7D76" w:rsidRDefault="00997794" w:rsidP="005722D4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</w:pPr>
            <w:r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97794" w:rsidRPr="00AB7D76" w:rsidRDefault="00997794" w:rsidP="005722D4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</w:pPr>
            <w:r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>10%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97794" w:rsidRPr="00AB7D76" w:rsidRDefault="00997794" w:rsidP="005722D4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</w:pPr>
            <w:r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97794" w:rsidRPr="00AB7D76" w:rsidRDefault="00997794" w:rsidP="005722D4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</w:pPr>
            <w:r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97794" w:rsidRPr="00AB7D76" w:rsidRDefault="00997794" w:rsidP="005722D4">
            <w:pPr>
              <w:jc w:val="both"/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</w:pPr>
            <w:r w:rsidRPr="00AB7D76">
              <w:rPr>
                <w:rFonts w:ascii="Arial Narrow" w:hAnsi="Arial Narrow" w:cs="Arial"/>
                <w:b/>
                <w:bCs/>
                <w:sz w:val="21"/>
                <w:szCs w:val="21"/>
                <w:lang w:eastAsia="sk-SK"/>
              </w:rPr>
              <w:t> </w:t>
            </w:r>
          </w:p>
        </w:tc>
      </w:tr>
    </w:tbl>
    <w:p w:rsidR="00C57367" w:rsidRPr="00AB7D76" w:rsidRDefault="00C57367" w:rsidP="005722D4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2A26B1" w:rsidRPr="00AB7D76" w:rsidRDefault="002A26B1" w:rsidP="005722D4">
      <w:pPr>
        <w:pStyle w:val="Obyajntext"/>
        <w:numPr>
          <w:ilvl w:val="0"/>
          <w:numId w:val="22"/>
        </w:numPr>
        <w:tabs>
          <w:tab w:val="left" w:pos="10206"/>
        </w:tabs>
        <w:suppressAutoHyphens/>
        <w:jc w:val="both"/>
        <w:rPr>
          <w:rFonts w:ascii="Arial Narrow" w:hAnsi="Arial Narrow" w:cs="Arial"/>
          <w:b/>
          <w:sz w:val="21"/>
          <w:szCs w:val="21"/>
        </w:rPr>
      </w:pPr>
      <w:r w:rsidRPr="00AB7D76">
        <w:rPr>
          <w:rFonts w:ascii="Arial Narrow" w:hAnsi="Arial Narrow" w:cs="Arial"/>
          <w:b/>
          <w:sz w:val="21"/>
          <w:szCs w:val="21"/>
        </w:rPr>
        <w:t xml:space="preserve">Poplatok za </w:t>
      </w:r>
      <w:r w:rsidR="00EE7BA0" w:rsidRPr="00AB7D76">
        <w:rPr>
          <w:rFonts w:ascii="Arial Narrow" w:hAnsi="Arial Narrow" w:cs="Arial"/>
          <w:b/>
          <w:sz w:val="21"/>
          <w:szCs w:val="21"/>
        </w:rPr>
        <w:t xml:space="preserve">zaradenie EZ do </w:t>
      </w:r>
      <w:r w:rsidRPr="00AB7D76">
        <w:rPr>
          <w:rFonts w:ascii="Arial Narrow" w:hAnsi="Arial Narrow" w:cs="Arial"/>
          <w:b/>
          <w:sz w:val="21"/>
          <w:szCs w:val="21"/>
        </w:rPr>
        <w:t>poisteni</w:t>
      </w:r>
      <w:r w:rsidR="00EE7BA0" w:rsidRPr="00AB7D76">
        <w:rPr>
          <w:rFonts w:ascii="Arial Narrow" w:hAnsi="Arial Narrow" w:cs="Arial"/>
          <w:b/>
          <w:sz w:val="21"/>
          <w:szCs w:val="21"/>
        </w:rPr>
        <w:t>a</w:t>
      </w:r>
    </w:p>
    <w:p w:rsidR="002A26B1" w:rsidRPr="00AB7D76" w:rsidRDefault="00997794" w:rsidP="005722D4">
      <w:pPr>
        <w:pStyle w:val="Obyajntext"/>
        <w:numPr>
          <w:ilvl w:val="0"/>
          <w:numId w:val="24"/>
        </w:numPr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Zákazník vyjadruje súhlas s tým, aby mu Slovak Telekom, a.s.</w:t>
      </w:r>
      <w:r w:rsidR="00E02AA8" w:rsidRPr="00AB7D76">
        <w:rPr>
          <w:rFonts w:ascii="Arial Narrow" w:hAnsi="Arial Narrow" w:cs="Arial"/>
          <w:sz w:val="21"/>
          <w:szCs w:val="21"/>
        </w:rPr>
        <w:t xml:space="preserve"> </w:t>
      </w:r>
      <w:r w:rsidR="00601944" w:rsidRPr="00AB7D76">
        <w:rPr>
          <w:rFonts w:ascii="Arial Narrow" w:hAnsi="Arial Narrow" w:cs="Arial"/>
          <w:sz w:val="21"/>
          <w:szCs w:val="21"/>
        </w:rPr>
        <w:t xml:space="preserve">za každé poistné obdobie </w:t>
      </w:r>
      <w:r w:rsidR="00E02AA8" w:rsidRPr="00AB7D76">
        <w:rPr>
          <w:rFonts w:ascii="Arial Narrow" w:hAnsi="Arial Narrow" w:cs="Arial"/>
          <w:sz w:val="21"/>
          <w:szCs w:val="21"/>
        </w:rPr>
        <w:t xml:space="preserve">účtoval </w:t>
      </w:r>
      <w:r w:rsidRPr="00AB7D76">
        <w:rPr>
          <w:rFonts w:ascii="Arial Narrow" w:hAnsi="Arial Narrow" w:cs="Arial"/>
          <w:sz w:val="21"/>
          <w:szCs w:val="21"/>
        </w:rPr>
        <w:t xml:space="preserve">poplatok </w:t>
      </w:r>
      <w:r w:rsidR="00D505E7" w:rsidRPr="00AB7D76">
        <w:rPr>
          <w:rFonts w:ascii="Arial Narrow" w:hAnsi="Arial Narrow" w:cs="Arial"/>
          <w:sz w:val="21"/>
          <w:szCs w:val="21"/>
        </w:rPr>
        <w:t>za</w:t>
      </w:r>
      <w:r w:rsidR="00EE7BA0" w:rsidRPr="00AB7D76">
        <w:rPr>
          <w:rFonts w:ascii="Arial Narrow" w:hAnsi="Arial Narrow" w:cs="Arial"/>
          <w:sz w:val="21"/>
          <w:szCs w:val="21"/>
        </w:rPr>
        <w:t xml:space="preserve"> zaradenie EZ</w:t>
      </w:r>
      <w:r w:rsidR="00D505E7" w:rsidRPr="00AB7D76">
        <w:rPr>
          <w:rFonts w:ascii="Arial Narrow" w:hAnsi="Arial Narrow" w:cs="Arial"/>
          <w:sz w:val="21"/>
          <w:szCs w:val="21"/>
        </w:rPr>
        <w:t xml:space="preserve"> </w:t>
      </w:r>
      <w:r w:rsidR="00EE7BA0" w:rsidRPr="00AB7D76">
        <w:rPr>
          <w:rFonts w:ascii="Arial Narrow" w:hAnsi="Arial Narrow" w:cs="Arial"/>
          <w:sz w:val="21"/>
          <w:szCs w:val="21"/>
        </w:rPr>
        <w:t xml:space="preserve">do </w:t>
      </w:r>
      <w:r w:rsidR="00D505E7" w:rsidRPr="00AB7D76">
        <w:rPr>
          <w:rFonts w:ascii="Arial Narrow" w:hAnsi="Arial Narrow" w:cs="Arial"/>
          <w:sz w:val="21"/>
          <w:szCs w:val="21"/>
        </w:rPr>
        <w:t>poisteni</w:t>
      </w:r>
      <w:r w:rsidR="00EE7BA0" w:rsidRPr="00AB7D76">
        <w:rPr>
          <w:rFonts w:ascii="Arial Narrow" w:hAnsi="Arial Narrow" w:cs="Arial"/>
          <w:sz w:val="21"/>
          <w:szCs w:val="21"/>
        </w:rPr>
        <w:t>a</w:t>
      </w:r>
      <w:r w:rsidR="00E02AA8" w:rsidRPr="00AB7D76">
        <w:rPr>
          <w:rFonts w:ascii="Arial Narrow" w:hAnsi="Arial Narrow" w:cs="Arial"/>
          <w:sz w:val="21"/>
          <w:szCs w:val="21"/>
        </w:rPr>
        <w:t>, a to v mesačných splátkach</w:t>
      </w:r>
      <w:r w:rsidR="0044434C" w:rsidRPr="00AB7D76">
        <w:rPr>
          <w:rFonts w:ascii="Arial Narrow" w:hAnsi="Arial Narrow" w:cs="Arial"/>
          <w:sz w:val="21"/>
          <w:szCs w:val="21"/>
        </w:rPr>
        <w:t xml:space="preserve">, </w:t>
      </w:r>
      <w:r w:rsidR="007D3C17" w:rsidRPr="00AB7D76">
        <w:rPr>
          <w:rFonts w:ascii="Arial Narrow" w:hAnsi="Arial Narrow" w:cs="Arial"/>
          <w:sz w:val="21"/>
          <w:szCs w:val="21"/>
        </w:rPr>
        <w:t xml:space="preserve">vo výške podľa Tabuľky č. 1 </w:t>
      </w:r>
      <w:r w:rsidR="00922C6A" w:rsidRPr="00AB7D76">
        <w:rPr>
          <w:rFonts w:ascii="Arial Narrow" w:hAnsi="Arial Narrow" w:cs="Arial"/>
          <w:sz w:val="21"/>
          <w:szCs w:val="21"/>
        </w:rPr>
        <w:t>(ďalej len „poplatok</w:t>
      </w:r>
      <w:r w:rsidR="00955DE5" w:rsidRPr="00AB7D76">
        <w:rPr>
          <w:rFonts w:ascii="Arial Narrow" w:hAnsi="Arial Narrow" w:cs="Arial"/>
          <w:sz w:val="21"/>
          <w:szCs w:val="21"/>
        </w:rPr>
        <w:t xml:space="preserve"> za poistenie</w:t>
      </w:r>
      <w:r w:rsidR="00922C6A" w:rsidRPr="00AB7D76">
        <w:rPr>
          <w:rFonts w:ascii="Arial Narrow" w:hAnsi="Arial Narrow" w:cs="Arial"/>
          <w:sz w:val="21"/>
          <w:szCs w:val="21"/>
        </w:rPr>
        <w:t>“)</w:t>
      </w:r>
      <w:r w:rsidR="007D3C17" w:rsidRPr="00AB7D76">
        <w:rPr>
          <w:rFonts w:ascii="Arial Narrow" w:hAnsi="Arial Narrow" w:cs="Arial"/>
          <w:sz w:val="21"/>
          <w:szCs w:val="21"/>
        </w:rPr>
        <w:t>. Poplatok</w:t>
      </w:r>
      <w:r w:rsidR="00955DE5" w:rsidRPr="00AB7D76">
        <w:rPr>
          <w:rFonts w:ascii="Arial Narrow" w:hAnsi="Arial Narrow" w:cs="Arial"/>
          <w:sz w:val="21"/>
          <w:szCs w:val="21"/>
        </w:rPr>
        <w:t xml:space="preserve"> za poistenie </w:t>
      </w:r>
      <w:r w:rsidR="007D3C17" w:rsidRPr="00AB7D76">
        <w:rPr>
          <w:rFonts w:ascii="Arial Narrow" w:hAnsi="Arial Narrow" w:cs="Arial"/>
          <w:sz w:val="21"/>
          <w:szCs w:val="21"/>
        </w:rPr>
        <w:t xml:space="preserve">bude Zákazníkovi účtovaný spolu s úhradou platby za Službu na základe vystavenej faktúry za dané Zúčtovacie obdobie. 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V prípade čiastočnej úhrady faktúry sa </w:t>
      </w:r>
      <w:r w:rsidR="00922C6A" w:rsidRPr="00AB7D76">
        <w:rPr>
          <w:rFonts w:ascii="Arial Narrow" w:hAnsi="Arial Narrow" w:cs="Arial"/>
          <w:sz w:val="21"/>
          <w:szCs w:val="21"/>
        </w:rPr>
        <w:t>táto úhrada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 započítava na </w:t>
      </w:r>
      <w:r w:rsidRPr="00AB7D76">
        <w:rPr>
          <w:rFonts w:ascii="Arial Narrow" w:hAnsi="Arial Narrow" w:cs="Arial"/>
          <w:sz w:val="21"/>
          <w:szCs w:val="21"/>
        </w:rPr>
        <w:t xml:space="preserve">všetky </w:t>
      </w:r>
      <w:r w:rsidR="00922C6A" w:rsidRPr="00AB7D76">
        <w:rPr>
          <w:rFonts w:ascii="Arial Narrow" w:hAnsi="Arial Narrow" w:cs="Arial"/>
          <w:sz w:val="21"/>
          <w:szCs w:val="21"/>
        </w:rPr>
        <w:t>sumy v zmysle vystavenej</w:t>
      </w:r>
      <w:r w:rsidRPr="00AB7D76">
        <w:rPr>
          <w:rFonts w:ascii="Arial Narrow" w:hAnsi="Arial Narrow" w:cs="Arial"/>
          <w:sz w:val="21"/>
          <w:szCs w:val="21"/>
        </w:rPr>
        <w:t xml:space="preserve"> faktúr</w:t>
      </w:r>
      <w:r w:rsidR="00922C6A" w:rsidRPr="00AB7D76">
        <w:rPr>
          <w:rFonts w:ascii="Arial Narrow" w:hAnsi="Arial Narrow" w:cs="Arial"/>
          <w:sz w:val="21"/>
          <w:szCs w:val="21"/>
        </w:rPr>
        <w:t>y</w:t>
      </w:r>
      <w:r w:rsidRPr="00AB7D76">
        <w:rPr>
          <w:rFonts w:ascii="Arial Narrow" w:hAnsi="Arial Narrow" w:cs="Arial"/>
          <w:sz w:val="21"/>
          <w:szCs w:val="21"/>
        </w:rPr>
        <w:t xml:space="preserve"> pomerne. </w:t>
      </w:r>
    </w:p>
    <w:p w:rsidR="002A26B1" w:rsidRPr="00AB7D76" w:rsidRDefault="00922C6A" w:rsidP="005722D4">
      <w:pPr>
        <w:pStyle w:val="Obyajntext"/>
        <w:numPr>
          <w:ilvl w:val="0"/>
          <w:numId w:val="24"/>
        </w:numPr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 xml:space="preserve"> </w:t>
      </w:r>
      <w:r w:rsidR="00997794" w:rsidRPr="00AB7D76">
        <w:rPr>
          <w:rFonts w:ascii="Arial Narrow" w:hAnsi="Arial Narrow" w:cs="Arial"/>
          <w:sz w:val="21"/>
          <w:szCs w:val="21"/>
        </w:rPr>
        <w:t xml:space="preserve">Zákazník berie na vedomie, že </w:t>
      </w:r>
      <w:r w:rsidR="0042274F" w:rsidRPr="00AB7D76">
        <w:rPr>
          <w:rFonts w:ascii="Arial Narrow" w:hAnsi="Arial Narrow" w:cs="Arial"/>
          <w:sz w:val="21"/>
          <w:szCs w:val="21"/>
        </w:rPr>
        <w:t>v prípade ak poistenie netrvá celé</w:t>
      </w:r>
      <w:r w:rsidR="00997794" w:rsidRPr="00AB7D76">
        <w:rPr>
          <w:rFonts w:ascii="Arial Narrow" w:hAnsi="Arial Narrow" w:cs="Arial"/>
          <w:sz w:val="21"/>
          <w:szCs w:val="21"/>
        </w:rPr>
        <w:t xml:space="preserve"> Zúčtovacie obdobie, kráti sa výška poplatku</w:t>
      </w:r>
      <w:r w:rsidRPr="00AB7D76">
        <w:rPr>
          <w:rFonts w:ascii="Arial Narrow" w:hAnsi="Arial Narrow" w:cs="Arial"/>
          <w:sz w:val="21"/>
          <w:szCs w:val="21"/>
        </w:rPr>
        <w:t xml:space="preserve"> za </w:t>
      </w:r>
      <w:r w:rsidR="00E02AA8" w:rsidRPr="00AB7D76">
        <w:rPr>
          <w:rFonts w:ascii="Arial Narrow" w:hAnsi="Arial Narrow" w:cs="Arial"/>
          <w:sz w:val="21"/>
          <w:szCs w:val="21"/>
        </w:rPr>
        <w:t>poistenie</w:t>
      </w:r>
      <w:r w:rsidR="00997794" w:rsidRPr="00AB7D76">
        <w:rPr>
          <w:rFonts w:ascii="Arial Narrow" w:hAnsi="Arial Narrow" w:cs="Arial"/>
          <w:sz w:val="21"/>
          <w:szCs w:val="21"/>
        </w:rPr>
        <w:t xml:space="preserve"> alikvotne.  </w:t>
      </w:r>
    </w:p>
    <w:p w:rsidR="002A26B1" w:rsidRPr="00AB7D76" w:rsidRDefault="00997794" w:rsidP="005722D4">
      <w:pPr>
        <w:pStyle w:val="Obyajntext"/>
        <w:numPr>
          <w:ilvl w:val="0"/>
          <w:numId w:val="24"/>
        </w:numPr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Zákazník súhlasí</w:t>
      </w:r>
      <w:r w:rsidR="002A26B1" w:rsidRPr="00AB7D76">
        <w:rPr>
          <w:rFonts w:ascii="Arial Narrow" w:hAnsi="Arial Narrow" w:cs="Arial"/>
          <w:sz w:val="21"/>
          <w:szCs w:val="21"/>
        </w:rPr>
        <w:t>, že ak si nesplní</w:t>
      </w:r>
      <w:r w:rsidRPr="00AB7D76">
        <w:rPr>
          <w:rFonts w:ascii="Arial Narrow" w:hAnsi="Arial Narrow" w:cs="Arial"/>
          <w:sz w:val="21"/>
          <w:szCs w:val="21"/>
        </w:rPr>
        <w:t xml:space="preserve"> </w:t>
      </w:r>
      <w:r w:rsidR="002A26B1" w:rsidRPr="00AB7D76">
        <w:rPr>
          <w:rFonts w:ascii="Arial Narrow" w:hAnsi="Arial Narrow" w:cs="Arial"/>
          <w:sz w:val="21"/>
          <w:szCs w:val="21"/>
        </w:rPr>
        <w:t>poplatkovú povinnosť voči Poistníkovi podľa tohto článku Súhlasu a</w:t>
      </w:r>
      <w:r w:rsidR="0044434C" w:rsidRPr="00AB7D76">
        <w:rPr>
          <w:rFonts w:ascii="Arial Narrow" w:hAnsi="Arial Narrow" w:cs="Arial"/>
          <w:sz w:val="21"/>
          <w:szCs w:val="21"/>
        </w:rPr>
        <w:t xml:space="preserve"> podľa 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Zmluvy o poskytovaní verejných služieb, pričom </w:t>
      </w:r>
      <w:r w:rsidR="00922C6A" w:rsidRPr="00AB7D76">
        <w:rPr>
          <w:rFonts w:ascii="Arial Narrow" w:hAnsi="Arial Narrow" w:cs="Arial"/>
          <w:sz w:val="21"/>
          <w:szCs w:val="21"/>
        </w:rPr>
        <w:t>zároveň</w:t>
      </w:r>
      <w:r w:rsidRPr="00AB7D76">
        <w:rPr>
          <w:rFonts w:ascii="Arial Narrow" w:hAnsi="Arial Narrow" w:cs="Arial"/>
          <w:sz w:val="21"/>
          <w:szCs w:val="21"/>
        </w:rPr>
        <w:t xml:space="preserve"> </w:t>
      </w:r>
      <w:r w:rsidR="002A26B1" w:rsidRPr="00AB7D76">
        <w:rPr>
          <w:rFonts w:ascii="Arial Narrow" w:hAnsi="Arial Narrow" w:cs="Arial"/>
          <w:sz w:val="21"/>
          <w:szCs w:val="21"/>
        </w:rPr>
        <w:t>dôjde k </w:t>
      </w:r>
      <w:r w:rsidR="00922C6A" w:rsidRPr="00AB7D76">
        <w:rPr>
          <w:rFonts w:ascii="Arial Narrow" w:hAnsi="Arial Narrow" w:cs="Arial"/>
          <w:sz w:val="21"/>
          <w:szCs w:val="21"/>
        </w:rPr>
        <w:t>D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eaktivácií </w:t>
      </w:r>
      <w:r w:rsidRPr="00AB7D76">
        <w:rPr>
          <w:rFonts w:ascii="Arial Narrow" w:hAnsi="Arial Narrow" w:cs="Arial"/>
          <w:sz w:val="21"/>
          <w:szCs w:val="21"/>
        </w:rPr>
        <w:t>jeho S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lužby, Poistník </w:t>
      </w:r>
      <w:r w:rsidRPr="00AB7D76">
        <w:rPr>
          <w:rFonts w:ascii="Arial Narrow" w:hAnsi="Arial Narrow" w:cs="Arial"/>
          <w:sz w:val="21"/>
          <w:szCs w:val="21"/>
        </w:rPr>
        <w:t>ho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 odhlási z poistenia a</w:t>
      </w:r>
      <w:r w:rsidRPr="00AB7D76">
        <w:rPr>
          <w:rFonts w:ascii="Arial Narrow" w:hAnsi="Arial Narrow" w:cs="Arial"/>
          <w:sz w:val="21"/>
          <w:szCs w:val="21"/>
        </w:rPr>
        <w:t xml:space="preserve"> jeho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 poistenie skončí</w:t>
      </w:r>
      <w:r w:rsidR="00564D69" w:rsidRPr="00AB7D76">
        <w:rPr>
          <w:rFonts w:ascii="Arial Narrow" w:hAnsi="Arial Narrow" w:cs="Arial"/>
          <w:sz w:val="21"/>
          <w:szCs w:val="21"/>
        </w:rPr>
        <w:t xml:space="preserve"> ku dňu D</w:t>
      </w:r>
      <w:r w:rsidR="00922C6A" w:rsidRPr="00AB7D76">
        <w:rPr>
          <w:rFonts w:ascii="Arial Narrow" w:hAnsi="Arial Narrow" w:cs="Arial"/>
          <w:sz w:val="21"/>
          <w:szCs w:val="21"/>
        </w:rPr>
        <w:t>eaktivácie</w:t>
      </w:r>
      <w:r w:rsidR="00564D69" w:rsidRPr="00AB7D76">
        <w:rPr>
          <w:rFonts w:ascii="Arial Narrow" w:hAnsi="Arial Narrow" w:cs="Arial"/>
          <w:sz w:val="21"/>
          <w:szCs w:val="21"/>
        </w:rPr>
        <w:t xml:space="preserve"> Služby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. </w:t>
      </w:r>
    </w:p>
    <w:p w:rsidR="002A26B1" w:rsidRPr="00AB7D76" w:rsidRDefault="00AB7D76" w:rsidP="005722D4">
      <w:pPr>
        <w:pStyle w:val="Default"/>
        <w:numPr>
          <w:ilvl w:val="0"/>
          <w:numId w:val="24"/>
        </w:num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V prípade zániku</w:t>
      </w:r>
      <w:r w:rsidR="00696134" w:rsidRPr="00AB7D76">
        <w:rPr>
          <w:rFonts w:ascii="Arial Narrow" w:hAnsi="Arial Narrow"/>
          <w:sz w:val="21"/>
          <w:szCs w:val="21"/>
        </w:rPr>
        <w:t xml:space="preserve"> poistenia vo vzťahu ku konkrétnemu </w:t>
      </w:r>
      <w:r>
        <w:rPr>
          <w:rFonts w:ascii="Arial Narrow" w:hAnsi="Arial Narrow"/>
          <w:sz w:val="21"/>
          <w:szCs w:val="21"/>
        </w:rPr>
        <w:t>EZ</w:t>
      </w:r>
      <w:r w:rsidR="00696134" w:rsidRPr="00AB7D76">
        <w:rPr>
          <w:rFonts w:ascii="Arial Narrow" w:hAnsi="Arial Narrow"/>
          <w:sz w:val="21"/>
          <w:szCs w:val="21"/>
        </w:rPr>
        <w:t xml:space="preserve"> z dôvodu poistnej udalosti – totálnej škody</w:t>
      </w:r>
      <w:r w:rsidR="0044434C" w:rsidRPr="00AB7D76">
        <w:rPr>
          <w:rFonts w:ascii="Arial Narrow" w:hAnsi="Arial Narrow"/>
          <w:sz w:val="21"/>
          <w:szCs w:val="21"/>
        </w:rPr>
        <w:t>,</w:t>
      </w:r>
      <w:r w:rsidR="00696134" w:rsidRPr="00AB7D76">
        <w:rPr>
          <w:rFonts w:ascii="Arial Narrow" w:hAnsi="Arial Narrow"/>
          <w:sz w:val="21"/>
          <w:szCs w:val="21"/>
        </w:rPr>
        <w:t xml:space="preserve"> vzniká </w:t>
      </w:r>
      <w:r w:rsidR="0042274F" w:rsidRPr="00AB7D76">
        <w:rPr>
          <w:rFonts w:ascii="Arial Narrow" w:hAnsi="Arial Narrow"/>
          <w:sz w:val="21"/>
          <w:szCs w:val="21"/>
        </w:rPr>
        <w:t>poistenému</w:t>
      </w:r>
      <w:r w:rsidR="00AD25C4" w:rsidRPr="00AB7D76">
        <w:rPr>
          <w:rFonts w:ascii="Arial Narrow" w:hAnsi="Arial Narrow"/>
          <w:sz w:val="21"/>
          <w:szCs w:val="21"/>
        </w:rPr>
        <w:t xml:space="preserve"> povinnosť uhradiť poplatok za poistenie</w:t>
      </w:r>
      <w:r w:rsidR="00696134" w:rsidRPr="00AB7D76">
        <w:rPr>
          <w:rFonts w:ascii="Arial Narrow" w:hAnsi="Arial Narrow"/>
          <w:sz w:val="21"/>
          <w:szCs w:val="21"/>
        </w:rPr>
        <w:t xml:space="preserve"> aj za obdobie od vzniku poistnej udalosti do uplynutia</w:t>
      </w:r>
      <w:r w:rsidR="0042274F" w:rsidRPr="00AB7D76">
        <w:rPr>
          <w:rFonts w:ascii="Arial Narrow" w:hAnsi="Arial Narrow"/>
          <w:sz w:val="21"/>
          <w:szCs w:val="21"/>
        </w:rPr>
        <w:t xml:space="preserve"> konca prvého poistného obdobia, t.j.</w:t>
      </w:r>
      <w:r w:rsidR="00696134" w:rsidRPr="00AB7D76">
        <w:rPr>
          <w:rFonts w:ascii="Arial Narrow" w:hAnsi="Arial Narrow"/>
          <w:sz w:val="21"/>
          <w:szCs w:val="21"/>
        </w:rPr>
        <w:t xml:space="preserve"> </w:t>
      </w:r>
      <w:r w:rsidR="00AD25C4" w:rsidRPr="00AB7D76">
        <w:rPr>
          <w:rFonts w:ascii="Arial Narrow" w:hAnsi="Arial Narrow"/>
          <w:sz w:val="21"/>
          <w:szCs w:val="21"/>
        </w:rPr>
        <w:t>jedného (</w:t>
      </w:r>
      <w:r w:rsidR="00696134" w:rsidRPr="00AB7D76">
        <w:rPr>
          <w:rFonts w:ascii="Arial Narrow" w:hAnsi="Arial Narrow"/>
          <w:sz w:val="21"/>
          <w:szCs w:val="21"/>
        </w:rPr>
        <w:t>1</w:t>
      </w:r>
      <w:r w:rsidR="00AD25C4" w:rsidRPr="00AB7D76">
        <w:rPr>
          <w:rFonts w:ascii="Arial Narrow" w:hAnsi="Arial Narrow"/>
          <w:sz w:val="21"/>
          <w:szCs w:val="21"/>
        </w:rPr>
        <w:t>)</w:t>
      </w:r>
      <w:r w:rsidR="00696134" w:rsidRPr="00AB7D76">
        <w:rPr>
          <w:rFonts w:ascii="Arial Narrow" w:hAnsi="Arial Narrow"/>
          <w:sz w:val="21"/>
          <w:szCs w:val="21"/>
        </w:rPr>
        <w:t xml:space="preserve"> roka od začiatku poistenia</w:t>
      </w:r>
      <w:r w:rsidR="00AD25C4" w:rsidRPr="00AB7D76">
        <w:rPr>
          <w:rFonts w:ascii="Arial Narrow" w:hAnsi="Arial Narrow"/>
          <w:sz w:val="21"/>
          <w:szCs w:val="21"/>
        </w:rPr>
        <w:t>. A</w:t>
      </w:r>
      <w:r>
        <w:rPr>
          <w:rFonts w:ascii="Arial Narrow" w:hAnsi="Arial Narrow"/>
          <w:sz w:val="21"/>
          <w:szCs w:val="21"/>
        </w:rPr>
        <w:t xml:space="preserve">k poistná udalosť- </w:t>
      </w:r>
      <w:r w:rsidR="00696134" w:rsidRPr="00AB7D76">
        <w:rPr>
          <w:rFonts w:ascii="Arial Narrow" w:hAnsi="Arial Narrow"/>
          <w:sz w:val="21"/>
          <w:szCs w:val="21"/>
        </w:rPr>
        <w:t>totálna škoda</w:t>
      </w:r>
      <w:r w:rsidR="00AD25C4" w:rsidRPr="00AB7D76">
        <w:rPr>
          <w:rFonts w:ascii="Arial Narrow" w:hAnsi="Arial Narrow"/>
          <w:sz w:val="21"/>
          <w:szCs w:val="21"/>
        </w:rPr>
        <w:t xml:space="preserve"> -</w:t>
      </w:r>
      <w:r w:rsidR="00696134" w:rsidRPr="00AB7D76">
        <w:rPr>
          <w:rFonts w:ascii="Arial Narrow" w:hAnsi="Arial Narrow"/>
          <w:sz w:val="21"/>
          <w:szCs w:val="21"/>
        </w:rPr>
        <w:t xml:space="preserve"> nastane v druhom </w:t>
      </w:r>
      <w:r w:rsidR="00AD25C4" w:rsidRPr="00AB7D76">
        <w:rPr>
          <w:rFonts w:ascii="Arial Narrow" w:hAnsi="Arial Narrow"/>
          <w:sz w:val="21"/>
          <w:szCs w:val="21"/>
        </w:rPr>
        <w:t xml:space="preserve">(2.) </w:t>
      </w:r>
      <w:r w:rsidR="00696134" w:rsidRPr="00AB7D76">
        <w:rPr>
          <w:rFonts w:ascii="Arial Narrow" w:hAnsi="Arial Narrow"/>
          <w:sz w:val="21"/>
          <w:szCs w:val="21"/>
        </w:rPr>
        <w:t xml:space="preserve">roku trvania poistenia, </w:t>
      </w:r>
      <w:r w:rsidR="00AD25C4" w:rsidRPr="00AB7D76">
        <w:rPr>
          <w:rFonts w:ascii="Arial Narrow" w:hAnsi="Arial Narrow"/>
          <w:sz w:val="21"/>
          <w:szCs w:val="21"/>
        </w:rPr>
        <w:t>vzniká poistenému táto povinnosť vo vzťahu k o</w:t>
      </w:r>
      <w:r w:rsidR="00696134" w:rsidRPr="00AB7D76">
        <w:rPr>
          <w:rFonts w:ascii="Arial Narrow" w:hAnsi="Arial Narrow"/>
          <w:sz w:val="21"/>
          <w:szCs w:val="21"/>
        </w:rPr>
        <w:t>bdobi</w:t>
      </w:r>
      <w:r w:rsidR="00AD25C4" w:rsidRPr="00AB7D76">
        <w:rPr>
          <w:rFonts w:ascii="Arial Narrow" w:hAnsi="Arial Narrow"/>
          <w:sz w:val="21"/>
          <w:szCs w:val="21"/>
        </w:rPr>
        <w:t>u</w:t>
      </w:r>
      <w:r w:rsidR="00696134" w:rsidRPr="00AB7D76">
        <w:rPr>
          <w:rFonts w:ascii="Arial Narrow" w:hAnsi="Arial Narrow"/>
          <w:sz w:val="21"/>
          <w:szCs w:val="21"/>
        </w:rPr>
        <w:t xml:space="preserve"> do konca poistenia.</w:t>
      </w:r>
    </w:p>
    <w:p w:rsidR="002A26B1" w:rsidRPr="00AB7D76" w:rsidRDefault="00922C6A" w:rsidP="005722D4">
      <w:pPr>
        <w:pStyle w:val="Obyajntext"/>
        <w:numPr>
          <w:ilvl w:val="0"/>
          <w:numId w:val="24"/>
        </w:numPr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Z</w:t>
      </w:r>
      <w:r w:rsidR="00997794" w:rsidRPr="00AB7D76">
        <w:rPr>
          <w:rFonts w:ascii="Arial Narrow" w:hAnsi="Arial Narrow" w:cs="Arial"/>
          <w:sz w:val="21"/>
          <w:szCs w:val="21"/>
        </w:rPr>
        <w:t xml:space="preserve">ákazník </w:t>
      </w:r>
      <w:r w:rsidR="00855765" w:rsidRPr="00AB7D76">
        <w:rPr>
          <w:rFonts w:ascii="Arial Narrow" w:hAnsi="Arial Narrow" w:cs="Arial"/>
          <w:sz w:val="21"/>
          <w:szCs w:val="21"/>
        </w:rPr>
        <w:t>potvrdzuje</w:t>
      </w:r>
      <w:r w:rsidR="00997794" w:rsidRPr="00AB7D76">
        <w:rPr>
          <w:rFonts w:ascii="Arial Narrow" w:hAnsi="Arial Narrow" w:cs="Arial"/>
          <w:sz w:val="21"/>
          <w:szCs w:val="21"/>
        </w:rPr>
        <w:t xml:space="preserve">, že </w:t>
      </w:r>
      <w:r w:rsidR="00EE7BA0" w:rsidRPr="00AB7D76">
        <w:rPr>
          <w:rFonts w:ascii="Arial Narrow" w:hAnsi="Arial Narrow" w:cs="Arial"/>
          <w:sz w:val="21"/>
          <w:szCs w:val="21"/>
        </w:rPr>
        <w:t>poplatok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 </w:t>
      </w:r>
      <w:r w:rsidR="00955DE5" w:rsidRPr="00AB7D76">
        <w:rPr>
          <w:rFonts w:ascii="Arial Narrow" w:hAnsi="Arial Narrow" w:cs="Arial"/>
          <w:sz w:val="21"/>
          <w:szCs w:val="21"/>
        </w:rPr>
        <w:t>za poistenie</w:t>
      </w:r>
      <w:r w:rsidR="00614CD0" w:rsidRPr="00AB7D76">
        <w:rPr>
          <w:rFonts w:ascii="Arial Narrow" w:hAnsi="Arial Narrow" w:cs="Arial"/>
          <w:sz w:val="21"/>
          <w:szCs w:val="21"/>
        </w:rPr>
        <w:t xml:space="preserve"> </w:t>
      </w:r>
      <w:r w:rsidR="00997794" w:rsidRPr="00AB7D76">
        <w:rPr>
          <w:rFonts w:ascii="Arial Narrow" w:hAnsi="Arial Narrow" w:cs="Arial"/>
          <w:sz w:val="21"/>
          <w:szCs w:val="21"/>
        </w:rPr>
        <w:t>podľa tohto článku Súhlasu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 je schopný finančne zvládať</w:t>
      </w:r>
      <w:r w:rsidR="00997794" w:rsidRPr="00AB7D76">
        <w:rPr>
          <w:rFonts w:ascii="Arial Narrow" w:hAnsi="Arial Narrow" w:cs="Arial"/>
          <w:sz w:val="21"/>
          <w:szCs w:val="21"/>
        </w:rPr>
        <w:t>.</w:t>
      </w:r>
    </w:p>
    <w:p w:rsidR="000E0E15" w:rsidRPr="00AB7D76" w:rsidRDefault="000E0E15" w:rsidP="005722D4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2A26B1" w:rsidRPr="00AB7D76" w:rsidRDefault="0042274F" w:rsidP="005722D4">
      <w:pPr>
        <w:pStyle w:val="Obyajntext"/>
        <w:numPr>
          <w:ilvl w:val="0"/>
          <w:numId w:val="22"/>
        </w:numPr>
        <w:tabs>
          <w:tab w:val="left" w:pos="10206"/>
        </w:tabs>
        <w:suppressAutoHyphens/>
        <w:jc w:val="both"/>
        <w:rPr>
          <w:rFonts w:ascii="Arial Narrow" w:hAnsi="Arial Narrow" w:cs="Arial"/>
          <w:b/>
          <w:sz w:val="21"/>
          <w:szCs w:val="21"/>
        </w:rPr>
      </w:pPr>
      <w:r w:rsidRPr="00AB7D76">
        <w:rPr>
          <w:rFonts w:ascii="Arial Narrow" w:hAnsi="Arial Narrow" w:cs="Arial"/>
          <w:b/>
          <w:sz w:val="21"/>
          <w:szCs w:val="21"/>
        </w:rPr>
        <w:t>Doba</w:t>
      </w:r>
      <w:r w:rsidR="00145070" w:rsidRPr="00AB7D76">
        <w:rPr>
          <w:rFonts w:ascii="Arial Narrow" w:hAnsi="Arial Narrow" w:cs="Arial"/>
          <w:b/>
          <w:sz w:val="21"/>
          <w:szCs w:val="21"/>
        </w:rPr>
        <w:t xml:space="preserve"> a zánik poistenia</w:t>
      </w:r>
    </w:p>
    <w:p w:rsidR="002A26B1" w:rsidRPr="00AB7D76" w:rsidRDefault="00983874" w:rsidP="005722D4">
      <w:pPr>
        <w:pStyle w:val="Obyajntext"/>
        <w:numPr>
          <w:ilvl w:val="0"/>
          <w:numId w:val="30"/>
        </w:numPr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b/>
          <w:sz w:val="21"/>
          <w:szCs w:val="21"/>
        </w:rPr>
        <w:t xml:space="preserve"> </w:t>
      </w:r>
      <w:r w:rsidR="00145070" w:rsidRPr="00AB7D76">
        <w:rPr>
          <w:rFonts w:ascii="Arial Narrow" w:hAnsi="Arial Narrow" w:cs="Arial"/>
          <w:sz w:val="21"/>
          <w:szCs w:val="21"/>
        </w:rPr>
        <w:t>Poistenie sa dojednáva na dobu určitú</w:t>
      </w:r>
      <w:r w:rsidR="00411881">
        <w:rPr>
          <w:rFonts w:ascii="Arial Narrow" w:hAnsi="Arial Narrow" w:cs="Arial"/>
          <w:sz w:val="21"/>
          <w:szCs w:val="21"/>
        </w:rPr>
        <w:t>, ktorou je Doba viazanosti, max. 24 mesiacov.</w:t>
      </w:r>
      <w:r w:rsidR="0042274F" w:rsidRPr="00AB7D76">
        <w:rPr>
          <w:rFonts w:ascii="Arial Narrow" w:hAnsi="Arial Narrow" w:cs="Arial"/>
          <w:sz w:val="21"/>
          <w:szCs w:val="21"/>
        </w:rPr>
        <w:t xml:space="preserve"> Poistné obdobie je </w:t>
      </w:r>
      <w:r w:rsidR="000A47A2">
        <w:rPr>
          <w:rFonts w:ascii="Arial Narrow" w:hAnsi="Arial Narrow" w:cs="Arial"/>
          <w:sz w:val="21"/>
          <w:szCs w:val="21"/>
        </w:rPr>
        <w:t xml:space="preserve">12 mesiacov (poistný </w:t>
      </w:r>
      <w:r w:rsidR="0042274F" w:rsidRPr="00AB7D76">
        <w:rPr>
          <w:rFonts w:ascii="Arial Narrow" w:hAnsi="Arial Narrow" w:cs="Arial"/>
          <w:sz w:val="21"/>
          <w:szCs w:val="21"/>
        </w:rPr>
        <w:t>rok</w:t>
      </w:r>
      <w:r w:rsidR="000A47A2">
        <w:rPr>
          <w:rFonts w:ascii="Arial Narrow" w:hAnsi="Arial Narrow" w:cs="Arial"/>
          <w:sz w:val="21"/>
          <w:szCs w:val="21"/>
        </w:rPr>
        <w:t>)</w:t>
      </w:r>
      <w:r w:rsidR="0042274F" w:rsidRPr="00AB7D76">
        <w:rPr>
          <w:rFonts w:ascii="Arial Narrow" w:hAnsi="Arial Narrow" w:cs="Arial"/>
          <w:sz w:val="21"/>
          <w:szCs w:val="21"/>
        </w:rPr>
        <w:t>.</w:t>
      </w:r>
    </w:p>
    <w:p w:rsidR="002A26B1" w:rsidRPr="00AB7D76" w:rsidRDefault="00145070" w:rsidP="005722D4">
      <w:pPr>
        <w:pStyle w:val="Obyajntext"/>
        <w:numPr>
          <w:ilvl w:val="0"/>
          <w:numId w:val="30"/>
        </w:numPr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Z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ákazník </w:t>
      </w:r>
      <w:r w:rsidRPr="00AB7D76">
        <w:rPr>
          <w:rFonts w:ascii="Arial Narrow" w:hAnsi="Arial Narrow" w:cs="Arial"/>
          <w:sz w:val="21"/>
          <w:szCs w:val="21"/>
        </w:rPr>
        <w:t>môže poistenie pred</w:t>
      </w:r>
      <w:r w:rsidR="00866947">
        <w:rPr>
          <w:rFonts w:ascii="Arial Narrow" w:hAnsi="Arial Narrow" w:cs="Arial"/>
          <w:sz w:val="21"/>
          <w:szCs w:val="21"/>
        </w:rPr>
        <w:t xml:space="preserve"> uplynutím doby poistenia jedno</w:t>
      </w:r>
      <w:r w:rsidRPr="00AB7D76">
        <w:rPr>
          <w:rFonts w:ascii="Arial Narrow" w:hAnsi="Arial Narrow" w:cs="Arial"/>
          <w:sz w:val="21"/>
          <w:szCs w:val="21"/>
        </w:rPr>
        <w:t>stranne ukončiť nasledovnými spôsobmi:</w:t>
      </w:r>
    </w:p>
    <w:p w:rsidR="00145070" w:rsidRPr="00AB7D76" w:rsidRDefault="00145070" w:rsidP="005722D4">
      <w:pPr>
        <w:pStyle w:val="Odsekzoznamu"/>
        <w:numPr>
          <w:ilvl w:val="0"/>
          <w:numId w:val="19"/>
        </w:numPr>
        <w:spacing w:line="24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lastRenderedPageBreak/>
        <w:t>Kedykoľvek</w:t>
      </w:r>
      <w:r w:rsidR="007703AB" w:rsidRPr="00AB7D76">
        <w:rPr>
          <w:rFonts w:ascii="Arial Narrow" w:hAnsi="Arial Narrow" w:cs="Arial"/>
          <w:sz w:val="21"/>
          <w:szCs w:val="21"/>
        </w:rPr>
        <w:t xml:space="preserve"> prostredníctvom</w:t>
      </w:r>
      <w:r w:rsidRPr="00AB7D76">
        <w:rPr>
          <w:rFonts w:ascii="Arial Narrow" w:hAnsi="Arial Narrow" w:cs="Arial"/>
          <w:sz w:val="21"/>
          <w:szCs w:val="21"/>
        </w:rPr>
        <w:t xml:space="preserve"> žiados</w:t>
      </w:r>
      <w:r w:rsidR="007703AB" w:rsidRPr="00AB7D76">
        <w:rPr>
          <w:rFonts w:ascii="Arial Narrow" w:hAnsi="Arial Narrow" w:cs="Arial"/>
          <w:sz w:val="21"/>
          <w:szCs w:val="21"/>
        </w:rPr>
        <w:t>ti</w:t>
      </w:r>
      <w:r w:rsidRPr="00AB7D76">
        <w:rPr>
          <w:rFonts w:ascii="Arial Narrow" w:hAnsi="Arial Narrow" w:cs="Arial"/>
          <w:sz w:val="21"/>
          <w:szCs w:val="21"/>
        </w:rPr>
        <w:t xml:space="preserve"> o ukončenie poistenia</w:t>
      </w:r>
      <w:r w:rsidR="0068068A" w:rsidRPr="00AB7D76">
        <w:rPr>
          <w:rFonts w:ascii="Arial Narrow" w:hAnsi="Arial Narrow" w:cs="Arial"/>
          <w:sz w:val="21"/>
          <w:szCs w:val="21"/>
        </w:rPr>
        <w:t xml:space="preserve"> adresovanej </w:t>
      </w:r>
      <w:r w:rsidR="005F1EAF" w:rsidRPr="00AB7D76">
        <w:rPr>
          <w:rFonts w:ascii="Arial Narrow" w:hAnsi="Arial Narrow" w:cs="Arial"/>
          <w:sz w:val="21"/>
          <w:szCs w:val="21"/>
        </w:rPr>
        <w:t>Slovak Telekom, a.s.</w:t>
      </w:r>
      <w:r w:rsidRPr="00AB7D76">
        <w:rPr>
          <w:rFonts w:ascii="Arial Narrow" w:hAnsi="Arial Narrow" w:cs="Arial"/>
          <w:sz w:val="21"/>
          <w:szCs w:val="21"/>
        </w:rPr>
        <w:t xml:space="preserve">. Poistenie zanikne ku koncu nasledujúceho Zúčtovacieho obdobia, t.j. 24:00 posledného dňa Zúčtovacieho obdobia, ktoré začalo po doručení žiadosti o ukončenie  poistenia Poistníkovi. </w:t>
      </w:r>
      <w:r w:rsidR="00341A65" w:rsidRPr="00AB7D76">
        <w:rPr>
          <w:rFonts w:ascii="Arial Narrow" w:hAnsi="Arial Narrow" w:cs="Arial"/>
          <w:sz w:val="21"/>
          <w:szCs w:val="21"/>
        </w:rPr>
        <w:t>Poistený je povinný uhradiť poplatok</w:t>
      </w:r>
      <w:r w:rsidR="00955DE5" w:rsidRPr="00AB7D76">
        <w:rPr>
          <w:rFonts w:ascii="Arial Narrow" w:hAnsi="Arial Narrow" w:cs="Arial"/>
          <w:sz w:val="21"/>
          <w:szCs w:val="21"/>
        </w:rPr>
        <w:t xml:space="preserve"> za poistenie</w:t>
      </w:r>
      <w:r w:rsidR="00341A65" w:rsidRPr="00AB7D76">
        <w:rPr>
          <w:rFonts w:ascii="Arial Narrow" w:hAnsi="Arial Narrow" w:cs="Arial"/>
          <w:sz w:val="21"/>
          <w:szCs w:val="21"/>
        </w:rPr>
        <w:t xml:space="preserve"> podľa článku III. tohto Súhlasu iba za dobu do zániku poistenia podľa predchádzajúcej vety.</w:t>
      </w:r>
    </w:p>
    <w:p w:rsidR="002A26B1" w:rsidRPr="00AB7D76" w:rsidRDefault="002A26B1" w:rsidP="005722D4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Späťvzatím Súhlasu, ak bol súhlas udelený na diaľku. Lehota na odvolanie je 14 kalendárnych dní odo dňa účinnosti Súhlasu. Oznámenie o </w:t>
      </w:r>
      <w:r w:rsidR="00145070" w:rsidRPr="00AB7D76">
        <w:rPr>
          <w:rFonts w:ascii="Arial Narrow" w:hAnsi="Arial Narrow" w:cs="Arial"/>
          <w:sz w:val="21"/>
          <w:szCs w:val="21"/>
        </w:rPr>
        <w:t>späťvzatí</w:t>
      </w:r>
      <w:r w:rsidRPr="00AB7D76">
        <w:rPr>
          <w:rFonts w:ascii="Arial Narrow" w:hAnsi="Arial Narrow" w:cs="Arial"/>
          <w:sz w:val="21"/>
          <w:szCs w:val="21"/>
        </w:rPr>
        <w:t xml:space="preserve"> </w:t>
      </w:r>
      <w:r w:rsidR="00145070" w:rsidRPr="00AB7D76">
        <w:rPr>
          <w:rFonts w:ascii="Arial Narrow" w:hAnsi="Arial Narrow" w:cs="Arial"/>
          <w:sz w:val="21"/>
          <w:szCs w:val="21"/>
        </w:rPr>
        <w:t>S</w:t>
      </w:r>
      <w:r w:rsidRPr="00AB7D76">
        <w:rPr>
          <w:rFonts w:ascii="Arial Narrow" w:hAnsi="Arial Narrow" w:cs="Arial"/>
          <w:sz w:val="21"/>
          <w:szCs w:val="21"/>
        </w:rPr>
        <w:t>úhlasu je potrebné odoslať najneskôr v posledný deň uvedenej lehoty v písomnej podobe na adresu sídla spoločnosti Slovak Telekom, a. s..</w:t>
      </w:r>
      <w:r w:rsidR="00866947">
        <w:rPr>
          <w:rFonts w:ascii="Arial Narrow" w:hAnsi="Arial Narrow" w:cs="Arial"/>
          <w:sz w:val="21"/>
          <w:szCs w:val="21"/>
        </w:rPr>
        <w:t xml:space="preserve"> </w:t>
      </w:r>
      <w:r w:rsidRPr="00AB7D76">
        <w:rPr>
          <w:rFonts w:ascii="Arial Narrow" w:hAnsi="Arial Narrow" w:cs="Arial"/>
          <w:sz w:val="21"/>
          <w:szCs w:val="21"/>
        </w:rPr>
        <w:t xml:space="preserve">V prípade späťvzatia Súhlasu podľa tohto písmena poistenému vzniká povinnosť </w:t>
      </w:r>
      <w:r w:rsidR="00145070" w:rsidRPr="00AB7D76">
        <w:rPr>
          <w:rFonts w:ascii="Arial Narrow" w:hAnsi="Arial Narrow" w:cs="Arial"/>
          <w:sz w:val="21"/>
          <w:szCs w:val="21"/>
        </w:rPr>
        <w:t xml:space="preserve">uhradiť </w:t>
      </w:r>
      <w:r w:rsidR="004F1BDC" w:rsidRPr="00AB7D76">
        <w:rPr>
          <w:rFonts w:ascii="Arial Narrow" w:hAnsi="Arial Narrow" w:cs="Arial"/>
          <w:sz w:val="21"/>
          <w:szCs w:val="21"/>
        </w:rPr>
        <w:t xml:space="preserve">príslušnú časť </w:t>
      </w:r>
      <w:r w:rsidR="0042274F" w:rsidRPr="00AB7D76">
        <w:rPr>
          <w:rFonts w:ascii="Arial Narrow" w:hAnsi="Arial Narrow" w:cs="Arial"/>
          <w:sz w:val="21"/>
          <w:szCs w:val="21"/>
        </w:rPr>
        <w:t>poplatku</w:t>
      </w:r>
      <w:r w:rsidR="00145070" w:rsidRPr="00AB7D76">
        <w:rPr>
          <w:rFonts w:ascii="Arial Narrow" w:hAnsi="Arial Narrow" w:cs="Arial"/>
          <w:sz w:val="21"/>
          <w:szCs w:val="21"/>
        </w:rPr>
        <w:t xml:space="preserve"> za poistenie  </w:t>
      </w:r>
      <w:r w:rsidRPr="00AB7D76">
        <w:rPr>
          <w:rFonts w:ascii="Arial Narrow" w:hAnsi="Arial Narrow" w:cs="Arial"/>
          <w:sz w:val="21"/>
          <w:szCs w:val="21"/>
        </w:rPr>
        <w:t xml:space="preserve">podľa čl. </w:t>
      </w:r>
      <w:r w:rsidR="00145070" w:rsidRPr="00AB7D76">
        <w:rPr>
          <w:rFonts w:ascii="Arial Narrow" w:hAnsi="Arial Narrow" w:cs="Arial"/>
          <w:sz w:val="21"/>
          <w:szCs w:val="21"/>
        </w:rPr>
        <w:t>III</w:t>
      </w:r>
      <w:r w:rsidRPr="00AB7D76">
        <w:rPr>
          <w:rFonts w:ascii="Arial Narrow" w:hAnsi="Arial Narrow" w:cs="Arial"/>
          <w:sz w:val="21"/>
          <w:szCs w:val="21"/>
        </w:rPr>
        <w:t xml:space="preserve"> tohto Súhlasu za obdobie, počas ktorého poistenie trvalo.</w:t>
      </w:r>
    </w:p>
    <w:p w:rsidR="002A26B1" w:rsidRPr="00AB7D76" w:rsidRDefault="00145070" w:rsidP="005722D4">
      <w:pPr>
        <w:pStyle w:val="Obyajntext"/>
        <w:numPr>
          <w:ilvl w:val="0"/>
          <w:numId w:val="30"/>
        </w:numPr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Zákazník berie na vedomie, že ostatné dôvody a spôsoby zániku poistenia pred uplynutím  doby poistenia sú upravené</w:t>
      </w:r>
      <w:r w:rsidR="00955DE5" w:rsidRPr="00AB7D76">
        <w:rPr>
          <w:rFonts w:ascii="Arial Narrow" w:hAnsi="Arial Narrow" w:cs="Arial"/>
          <w:sz w:val="21"/>
          <w:szCs w:val="21"/>
        </w:rPr>
        <w:t xml:space="preserve"> Prehľade podmienok poistenia elektronického zariadenia, resp.</w:t>
      </w:r>
      <w:r w:rsidRPr="00AB7D76">
        <w:rPr>
          <w:rFonts w:ascii="Arial Narrow" w:hAnsi="Arial Narrow" w:cs="Arial"/>
          <w:sz w:val="21"/>
          <w:szCs w:val="21"/>
        </w:rPr>
        <w:t xml:space="preserve"> v 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Poistnej zmluve skupinového </w:t>
      </w:r>
      <w:r w:rsidRPr="00AB7D76">
        <w:rPr>
          <w:rFonts w:ascii="Arial Narrow" w:hAnsi="Arial Narrow" w:cs="Arial"/>
          <w:sz w:val="21"/>
          <w:szCs w:val="21"/>
        </w:rPr>
        <w:t>poistenia</w:t>
      </w:r>
      <w:r w:rsidR="002A26B1" w:rsidRPr="00AB7D76">
        <w:rPr>
          <w:rFonts w:ascii="Arial Narrow" w:hAnsi="Arial Narrow" w:cs="Arial"/>
          <w:sz w:val="21"/>
          <w:szCs w:val="21"/>
        </w:rPr>
        <w:t> </w:t>
      </w:r>
      <w:r w:rsidR="0042274F" w:rsidRPr="00AB7D76">
        <w:rPr>
          <w:rFonts w:ascii="Arial Narrow" w:hAnsi="Arial Narrow" w:cs="Arial"/>
          <w:sz w:val="21"/>
          <w:szCs w:val="21"/>
        </w:rPr>
        <w:t xml:space="preserve">a </w:t>
      </w:r>
      <w:r w:rsidR="002A26B1" w:rsidRPr="00AB7D76">
        <w:rPr>
          <w:rFonts w:ascii="Arial Narrow" w:hAnsi="Arial Narrow" w:cs="Arial"/>
          <w:sz w:val="21"/>
          <w:szCs w:val="21"/>
        </w:rPr>
        <w:t>Všeobecných poistných podmienkach elektronických zariadení PPEZ 14 (ďalej tiež „VPP PPEZ 14“)</w:t>
      </w:r>
      <w:r w:rsidRPr="00AB7D76">
        <w:rPr>
          <w:rFonts w:ascii="Arial Narrow" w:hAnsi="Arial Narrow" w:cs="Arial"/>
          <w:sz w:val="21"/>
          <w:szCs w:val="21"/>
        </w:rPr>
        <w:t>.</w:t>
      </w:r>
    </w:p>
    <w:p w:rsidR="002A26B1" w:rsidRPr="00AB7D76" w:rsidRDefault="002A26B1" w:rsidP="005722D4">
      <w:pPr>
        <w:pStyle w:val="Obyajntext"/>
        <w:tabs>
          <w:tab w:val="left" w:pos="10206"/>
        </w:tabs>
        <w:suppressAutoHyphens/>
        <w:ind w:left="360"/>
        <w:jc w:val="both"/>
        <w:rPr>
          <w:rFonts w:ascii="Arial Narrow" w:hAnsi="Arial Narrow" w:cs="Arial"/>
          <w:sz w:val="21"/>
          <w:szCs w:val="21"/>
        </w:rPr>
      </w:pPr>
    </w:p>
    <w:p w:rsidR="002A26B1" w:rsidRPr="00AB7D76" w:rsidRDefault="002A26B1" w:rsidP="005722D4">
      <w:pPr>
        <w:pStyle w:val="Obyajntext"/>
        <w:numPr>
          <w:ilvl w:val="0"/>
          <w:numId w:val="22"/>
        </w:numPr>
        <w:tabs>
          <w:tab w:val="left" w:pos="10206"/>
        </w:tabs>
        <w:suppressAutoHyphens/>
        <w:jc w:val="both"/>
        <w:rPr>
          <w:rFonts w:ascii="Arial Narrow" w:hAnsi="Arial Narrow" w:cs="Arial"/>
          <w:b/>
          <w:sz w:val="21"/>
          <w:szCs w:val="21"/>
        </w:rPr>
      </w:pPr>
      <w:r w:rsidRPr="00AB7D76">
        <w:rPr>
          <w:rFonts w:ascii="Arial Narrow" w:hAnsi="Arial Narrow" w:cs="Arial"/>
          <w:b/>
          <w:sz w:val="21"/>
          <w:szCs w:val="21"/>
        </w:rPr>
        <w:t>Ochrana osobných údajov</w:t>
      </w:r>
    </w:p>
    <w:p w:rsidR="000E0E15" w:rsidRPr="00AB7D76" w:rsidRDefault="000E0E15" w:rsidP="005722D4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CA6143" w:rsidRPr="00AB7D76" w:rsidRDefault="00CA6143" w:rsidP="00CA6143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 w:rsidRPr="00D13395">
        <w:rPr>
          <w:rFonts w:ascii="Arial Narrow" w:hAnsi="Arial Narrow"/>
          <w:sz w:val="21"/>
        </w:rPr>
        <w:t xml:space="preserve">Svojím podpisom </w:t>
      </w:r>
      <w:r w:rsidRPr="00D13395">
        <w:rPr>
          <w:rFonts w:ascii="Arial Narrow" w:hAnsi="Arial Narrow" w:cs="Arial"/>
          <w:sz w:val="21"/>
          <w:szCs w:val="21"/>
        </w:rPr>
        <w:t>dáva</w:t>
      </w:r>
      <w:r w:rsidRPr="00D13395">
        <w:rPr>
          <w:rFonts w:ascii="Arial Narrow" w:hAnsi="Arial Narrow"/>
          <w:sz w:val="21"/>
        </w:rPr>
        <w:t xml:space="preserve"> poistený súhlas poistníkovi a poisťovateľovi so spracovaním osobných údajov pre účely vzniku a správy poistenia ako aj likvidácie poistnej udalosti v zmysle zákona č. 122/2013 Z. z. o ochrane osobných údajov</w:t>
      </w:r>
      <w:r w:rsidRPr="00D13395">
        <w:rPr>
          <w:rFonts w:ascii="Arial Narrow" w:hAnsi="Arial Narrow" w:cs="Arial"/>
          <w:sz w:val="21"/>
          <w:szCs w:val="21"/>
        </w:rPr>
        <w:t>.</w:t>
      </w:r>
      <w:r w:rsidRPr="00D13395">
        <w:rPr>
          <w:rFonts w:ascii="Arial Narrow" w:hAnsi="Arial Narrow"/>
          <w:sz w:val="21"/>
        </w:rPr>
        <w:t xml:space="preserve"> Poistený </w:t>
      </w:r>
      <w:bookmarkStart w:id="0" w:name="_GoBack"/>
      <w:bookmarkEnd w:id="0"/>
      <w:r w:rsidRPr="00D13395">
        <w:rPr>
          <w:rFonts w:ascii="Arial Narrow" w:hAnsi="Arial Narrow"/>
          <w:sz w:val="21"/>
        </w:rPr>
        <w:t xml:space="preserve">si je vedomý, že osobné údaje poskytnuté k poistnej zmluve je poisťovateľovi povinný poskytnúť v zmysle </w:t>
      </w:r>
      <w:r w:rsidRPr="00D13395">
        <w:rPr>
          <w:rFonts w:ascii="Arial Narrow" w:hAnsi="Arial Narrow" w:cs="Arial"/>
          <w:sz w:val="21"/>
          <w:szCs w:val="21"/>
        </w:rPr>
        <w:t>Zákona</w:t>
      </w:r>
      <w:r w:rsidRPr="00D13395">
        <w:rPr>
          <w:rFonts w:ascii="Arial Narrow" w:hAnsi="Arial Narrow"/>
          <w:sz w:val="21"/>
        </w:rPr>
        <w:t xml:space="preserve"> o poisťovníctve a že tieto údaje budú spracúvané v informačnom systéme poisťovateľa Generali Poisťovňa, a.s..</w:t>
      </w:r>
      <w:r w:rsidRPr="00D13395">
        <w:rPr>
          <w:rFonts w:ascii="Arial Narrow" w:hAnsi="Arial Narrow" w:cs="Arial"/>
          <w:sz w:val="21"/>
          <w:szCs w:val="21"/>
        </w:rPr>
        <w:t xml:space="preserve"> </w:t>
      </w:r>
      <w:r w:rsidRPr="00D13395">
        <w:rPr>
          <w:rFonts w:ascii="Arial Narrow" w:hAnsi="Arial Narrow" w:cs="Arial"/>
          <w:color w:val="000000"/>
          <w:sz w:val="21"/>
          <w:szCs w:val="21"/>
        </w:rPr>
        <w:t xml:space="preserve">V prípade využitia elektronickej </w:t>
      </w:r>
      <w:r w:rsidRPr="00465E6B">
        <w:rPr>
          <w:rFonts w:ascii="Arial Narrow" w:hAnsi="Arial Narrow" w:cs="Arial"/>
          <w:color w:val="000000"/>
          <w:sz w:val="21"/>
          <w:szCs w:val="21"/>
        </w:rPr>
        <w:t xml:space="preserve">komunikácie </w:t>
      </w:r>
      <w:r w:rsidR="009842FF" w:rsidRPr="00465E6B">
        <w:rPr>
          <w:rFonts w:ascii="Arial Narrow" w:hAnsi="Arial Narrow" w:cs="Arial"/>
          <w:color w:val="000000"/>
          <w:sz w:val="21"/>
          <w:szCs w:val="21"/>
        </w:rPr>
        <w:t>s</w:t>
      </w:r>
      <w:r w:rsidRPr="00465E6B">
        <w:rPr>
          <w:rFonts w:ascii="Arial Narrow" w:hAnsi="Arial Narrow" w:cs="Arial"/>
          <w:color w:val="000000"/>
          <w:sz w:val="21"/>
          <w:szCs w:val="21"/>
        </w:rPr>
        <w:t xml:space="preserve"> poisťovateľom</w:t>
      </w:r>
      <w:r w:rsidRPr="00D13395">
        <w:rPr>
          <w:rFonts w:ascii="Arial Narrow" w:hAnsi="Arial Narrow" w:cs="Arial"/>
          <w:color w:val="000000"/>
          <w:sz w:val="21"/>
          <w:szCs w:val="21"/>
        </w:rPr>
        <w:t xml:space="preserve"> sú poistený alebo iné oprávnené osoby povinní nezasielať rodné číslo.</w:t>
      </w:r>
    </w:p>
    <w:p w:rsidR="002A26B1" w:rsidRPr="00AB7D76" w:rsidRDefault="002A26B1" w:rsidP="005722D4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2A26B1" w:rsidRPr="00AB7D76" w:rsidRDefault="000E0E15" w:rsidP="005722D4">
      <w:pPr>
        <w:pStyle w:val="Obyajntext"/>
        <w:numPr>
          <w:ilvl w:val="0"/>
          <w:numId w:val="22"/>
        </w:numPr>
        <w:tabs>
          <w:tab w:val="left" w:pos="10206"/>
        </w:tabs>
        <w:suppressAutoHyphens/>
        <w:jc w:val="both"/>
        <w:rPr>
          <w:rFonts w:ascii="Arial Narrow" w:hAnsi="Arial Narrow" w:cs="Arial"/>
          <w:b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 xml:space="preserve"> </w:t>
      </w:r>
      <w:r w:rsidR="002A26B1" w:rsidRPr="00AB7D76">
        <w:rPr>
          <w:rFonts w:ascii="Arial Narrow" w:hAnsi="Arial Narrow" w:cs="Arial"/>
          <w:b/>
          <w:sz w:val="21"/>
          <w:szCs w:val="21"/>
        </w:rPr>
        <w:t>Digitalizovaný podpis</w:t>
      </w:r>
    </w:p>
    <w:p w:rsidR="002A26B1" w:rsidRPr="00AB7D76" w:rsidRDefault="002A26B1" w:rsidP="005722D4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6E2E05" w:rsidRPr="00AB7D76" w:rsidRDefault="006E2E05" w:rsidP="005722D4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Cs/>
          <w:sz w:val="21"/>
          <w:szCs w:val="21"/>
          <w:lang w:eastAsia="sk-SK"/>
        </w:rPr>
      </w:pP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Poistník ponúkol Zákazníkovi možnosť využiť pri pristúpení do poistenia technické zariadenie v predajnom mieste poistníka. </w:t>
      </w:r>
    </w:p>
    <w:p w:rsidR="006E2E05" w:rsidRPr="00AB7D76" w:rsidRDefault="006E2E05" w:rsidP="005722D4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Cs/>
          <w:sz w:val="21"/>
          <w:szCs w:val="21"/>
          <w:lang w:eastAsia="sk-SK"/>
        </w:rPr>
      </w:pP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Ak Zákazník túto možnosť využil, tento Súhlas je podpísaný digitalizovaným podpisom </w:t>
      </w:r>
      <w:r w:rsidR="004B184D" w:rsidRPr="00AB7D76">
        <w:rPr>
          <w:rFonts w:ascii="Arial Narrow" w:hAnsi="Arial Narrow" w:cs="Arial"/>
          <w:bCs/>
          <w:sz w:val="21"/>
          <w:szCs w:val="21"/>
          <w:lang w:eastAsia="sk-SK"/>
        </w:rPr>
        <w:t>Klienta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prostredníctvom daného technického zariadenia. Zákazník v takomto prípade vyhlasuje, že bol pred podpísaním Súhlasu informovaný o podstate digitalizovaného podpisu, najmä o tom, že digitalizovaný podpis Zákazníka je jeho vlastnoručným podpisom preneseným na Súhlas prostredníctvom technického zariadenia ako jedinečný technický záznam vytvorený len pre účely tohto Súhlasu a tvoriaci trvalú neoddeliteľnú súčasť tohto Súhlasu. </w:t>
      </w:r>
      <w:r w:rsidR="007D3C17" w:rsidRPr="00AB7D76">
        <w:rPr>
          <w:rFonts w:ascii="Arial Narrow" w:hAnsi="Arial Narrow" w:cs="Arial"/>
          <w:bCs/>
          <w:sz w:val="21"/>
          <w:szCs w:val="21"/>
          <w:lang w:eastAsia="sk-SK"/>
        </w:rPr>
        <w:t>Zákazník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výslovne súhlasí so spracúvaním záznamu svojho digitalizovaného podpisu jeho priradením k podpísanému dokumentu na účel </w:t>
      </w:r>
      <w:r w:rsidR="00FD6A54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prihlásenia </w:t>
      </w:r>
      <w:r w:rsidR="00866947">
        <w:rPr>
          <w:rFonts w:ascii="Arial Narrow" w:hAnsi="Arial Narrow" w:cs="Arial"/>
          <w:bCs/>
          <w:sz w:val="21"/>
          <w:szCs w:val="21"/>
          <w:lang w:eastAsia="sk-SK"/>
        </w:rPr>
        <w:t>EZ</w:t>
      </w:r>
      <w:r w:rsidR="00FD6A54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do poistenia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. Tento záznam o digitalizovanom podpise Zákazníka nebude využitý na žiadne iné účely, a to ani samostatne ani v spojení s iným dokumentom. </w:t>
      </w:r>
      <w:r w:rsidR="00FD6A54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Prihlásením </w:t>
      </w:r>
      <w:r w:rsidR="00866947">
        <w:rPr>
          <w:rFonts w:ascii="Arial Narrow" w:hAnsi="Arial Narrow" w:cs="Arial"/>
          <w:bCs/>
          <w:sz w:val="21"/>
          <w:szCs w:val="21"/>
          <w:lang w:eastAsia="sk-SK"/>
        </w:rPr>
        <w:t>EZ</w:t>
      </w:r>
      <w:r w:rsidR="00FD6A54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do poistenia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takýmto spôsobom nie je dotknutá platnosť </w:t>
      </w:r>
      <w:r w:rsidR="00FD6A54" w:rsidRPr="00AB7D76">
        <w:rPr>
          <w:rFonts w:ascii="Arial Narrow" w:hAnsi="Arial Narrow" w:cs="Arial"/>
          <w:bCs/>
          <w:sz w:val="21"/>
          <w:szCs w:val="21"/>
          <w:lang w:eastAsia="sk-SK"/>
        </w:rPr>
        <w:t>tohto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Súhlas</w:t>
      </w:r>
      <w:r w:rsidR="00FD6A54" w:rsidRPr="00AB7D76">
        <w:rPr>
          <w:rFonts w:ascii="Arial Narrow" w:hAnsi="Arial Narrow" w:cs="Arial"/>
          <w:bCs/>
          <w:sz w:val="21"/>
          <w:szCs w:val="21"/>
          <w:lang w:eastAsia="sk-SK"/>
        </w:rPr>
        <w:t>u</w:t>
      </w:r>
      <w:r w:rsidR="00866947">
        <w:rPr>
          <w:rFonts w:ascii="Arial Narrow" w:hAnsi="Arial Narrow" w:cs="Arial"/>
          <w:bCs/>
          <w:sz w:val="21"/>
          <w:szCs w:val="21"/>
          <w:lang w:eastAsia="sk-SK"/>
        </w:rPr>
        <w:t xml:space="preserve">, ani jeho 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písomná forma a takto podpísaný Súhlas má silu originálu. </w:t>
      </w:r>
    </w:p>
    <w:p w:rsidR="006E2E05" w:rsidRPr="00AB7D76" w:rsidRDefault="006E2E05" w:rsidP="005722D4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sz w:val="21"/>
          <w:szCs w:val="21"/>
          <w:lang w:eastAsia="de-AT"/>
        </w:rPr>
      </w:pP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>Ak Zákazník túto možnosť nevyu</w:t>
      </w:r>
      <w:r w:rsidR="00866947">
        <w:rPr>
          <w:rFonts w:ascii="Arial Narrow" w:hAnsi="Arial Narrow" w:cs="Arial"/>
          <w:bCs/>
          <w:sz w:val="21"/>
          <w:szCs w:val="21"/>
          <w:lang w:eastAsia="sk-SK"/>
        </w:rPr>
        <w:t>žil, je tento Súhlas vyhotovený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v listinnej forme a podpísaný </w:t>
      </w:r>
      <w:r w:rsidR="002A26B1" w:rsidRPr="00AB7D76">
        <w:rPr>
          <w:rFonts w:ascii="Arial Narrow" w:eastAsia="Times New Roman" w:hAnsi="Arial Narrow" w:cs="Arial"/>
          <w:sz w:val="21"/>
          <w:szCs w:val="21"/>
          <w:lang w:eastAsia="de-AT"/>
        </w:rPr>
        <w:t xml:space="preserve">vlastnoručným podpisom zachyteným na tohto dokumente priamo bez použitia technického zariadenia. </w:t>
      </w:r>
    </w:p>
    <w:p w:rsidR="002A26B1" w:rsidRPr="00AB7D76" w:rsidRDefault="002A26B1" w:rsidP="005722D4">
      <w:pPr>
        <w:pStyle w:val="Obyajntext"/>
        <w:numPr>
          <w:ilvl w:val="0"/>
          <w:numId w:val="22"/>
        </w:numPr>
        <w:tabs>
          <w:tab w:val="left" w:pos="10206"/>
        </w:tabs>
        <w:suppressAutoHyphens/>
        <w:jc w:val="both"/>
        <w:rPr>
          <w:rFonts w:ascii="Arial Narrow" w:hAnsi="Arial Narrow" w:cs="Arial"/>
          <w:b/>
          <w:sz w:val="21"/>
          <w:szCs w:val="21"/>
        </w:rPr>
      </w:pPr>
      <w:r w:rsidRPr="00AB7D76">
        <w:rPr>
          <w:rFonts w:ascii="Arial Narrow" w:hAnsi="Arial Narrow" w:cs="Arial"/>
          <w:b/>
          <w:sz w:val="21"/>
          <w:szCs w:val="21"/>
        </w:rPr>
        <w:t>Záverečné ustanovenia</w:t>
      </w:r>
    </w:p>
    <w:p w:rsidR="000E0E15" w:rsidRPr="00AB7D76" w:rsidRDefault="000E0E15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6E2E05" w:rsidRPr="00AB7D76" w:rsidRDefault="00C94FDF" w:rsidP="005722D4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Cs/>
          <w:sz w:val="21"/>
          <w:szCs w:val="21"/>
          <w:lang w:eastAsia="sk-SK"/>
        </w:rPr>
      </w:pP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>Zákazník</w:t>
      </w:r>
      <w:r w:rsidR="006E2E05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berie na vedomie, že kompletná úprava jeho práv a povinností z</w:t>
      </w:r>
      <w:r w:rsidR="0042274F" w:rsidRPr="00AB7D76">
        <w:rPr>
          <w:rFonts w:ascii="Arial Narrow" w:hAnsi="Arial Narrow" w:cs="Arial"/>
          <w:bCs/>
          <w:sz w:val="21"/>
          <w:szCs w:val="21"/>
          <w:lang w:eastAsia="sk-SK"/>
        </w:rPr>
        <w:t> </w:t>
      </w:r>
      <w:r w:rsidR="006E2E05" w:rsidRPr="00AB7D76">
        <w:rPr>
          <w:rFonts w:ascii="Arial Narrow" w:hAnsi="Arial Narrow" w:cs="Arial"/>
          <w:bCs/>
          <w:sz w:val="21"/>
          <w:szCs w:val="21"/>
          <w:lang w:eastAsia="sk-SK"/>
        </w:rPr>
        <w:t>poistenia</w:t>
      </w:r>
      <w:r w:rsidR="0042274F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ako poisteného</w:t>
      </w:r>
      <w:r w:rsidR="006E2E05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je obsiahnutá v príslušných ustanoveniach Občianskeho zákonníka o poistnej zmluve, v Poistnej zmluve</w:t>
      </w:r>
      <w:r w:rsidR="00EA127E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skupinového poistenia</w:t>
      </w:r>
      <w:r w:rsidR="006E2E05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a VPP PPEZ 14 platných v čase podpísania tohto Súhlasu.</w:t>
      </w:r>
    </w:p>
    <w:p w:rsidR="000E0E15" w:rsidRPr="00AB7D76" w:rsidRDefault="000E0E15" w:rsidP="005722D4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Cs/>
          <w:sz w:val="21"/>
          <w:szCs w:val="21"/>
          <w:lang w:eastAsia="sk-SK"/>
        </w:rPr>
      </w:pP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>Zákazník berie na vedomie</w:t>
      </w:r>
      <w:r w:rsidR="00EA127E" w:rsidRPr="00AB7D76">
        <w:rPr>
          <w:rFonts w:ascii="Arial Narrow" w:hAnsi="Arial Narrow" w:cs="Arial"/>
          <w:bCs/>
          <w:sz w:val="21"/>
          <w:szCs w:val="21"/>
          <w:lang w:eastAsia="sk-SK"/>
        </w:rPr>
        <w:t>,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že informácie obsiahnuté v tomto Súhlase</w:t>
      </w:r>
      <w:r w:rsidR="00341A65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</w:t>
      </w:r>
      <w:r w:rsidR="00CA5E18" w:rsidRPr="00AB7D76">
        <w:rPr>
          <w:rFonts w:ascii="Arial Narrow" w:hAnsi="Arial Narrow" w:cs="Arial"/>
          <w:bCs/>
          <w:sz w:val="21"/>
          <w:szCs w:val="21"/>
          <w:lang w:eastAsia="sk-SK"/>
        </w:rPr>
        <w:t>a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v Prehľade podmienok poist</w:t>
      </w:r>
      <w:r w:rsidR="004B184D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enia elektronického zariadenia 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predstavujú </w:t>
      </w:r>
      <w:r w:rsidR="004B184D" w:rsidRPr="00AB7D76">
        <w:rPr>
          <w:rFonts w:ascii="Arial Narrow" w:hAnsi="Arial Narrow" w:cs="Arial"/>
          <w:bCs/>
          <w:sz w:val="21"/>
          <w:szCs w:val="21"/>
          <w:lang w:eastAsia="sk-SK"/>
        </w:rPr>
        <w:t>základn</w:t>
      </w:r>
      <w:r w:rsidR="007026CE" w:rsidRPr="00AB7D76">
        <w:rPr>
          <w:rFonts w:ascii="Arial Narrow" w:hAnsi="Arial Narrow" w:cs="Arial"/>
          <w:bCs/>
          <w:sz w:val="21"/>
          <w:szCs w:val="21"/>
          <w:lang w:eastAsia="sk-SK"/>
        </w:rPr>
        <w:t>é</w:t>
      </w:r>
      <w:r w:rsidR="004B184D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</w:t>
      </w:r>
      <w:r w:rsidR="00CA5E18" w:rsidRPr="00AB7D76">
        <w:rPr>
          <w:rFonts w:ascii="Arial Narrow" w:hAnsi="Arial Narrow" w:cs="Arial"/>
          <w:bCs/>
          <w:sz w:val="21"/>
          <w:szCs w:val="21"/>
          <w:lang w:eastAsia="sk-SK"/>
        </w:rPr>
        <w:t>informácie o poistení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>. Svojím podpisom zákazník vyhlasuje, že tieto informácie sú postačujúce na porozumenie podstaty poistenia, následkov a rizík pristúpenia do poistenia a že nepožaduje žiadne ďalšie informácie,</w:t>
      </w:r>
      <w:r w:rsidR="004B184D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resp.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odporúčania.</w:t>
      </w:r>
    </w:p>
    <w:p w:rsidR="00C57367" w:rsidRPr="00AB7D76" w:rsidRDefault="00C57367" w:rsidP="005722D4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Cs/>
          <w:sz w:val="21"/>
          <w:szCs w:val="21"/>
          <w:lang w:eastAsia="sk-SK"/>
        </w:rPr>
      </w:pP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Svojím podpisom </w:t>
      </w:r>
      <w:r w:rsidR="000E0E15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zákazník 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>potvrdzuje, že sa oboznámil a súhlasí s Poistnou zmluvou skupinového poistenia a </w:t>
      </w:r>
      <w:r w:rsidR="000E0E15" w:rsidRPr="00AB7D76" w:rsidDel="000E0E15">
        <w:rPr>
          <w:rFonts w:ascii="Arial Narrow" w:hAnsi="Arial Narrow" w:cs="Arial"/>
          <w:bCs/>
          <w:sz w:val="21"/>
          <w:szCs w:val="21"/>
          <w:lang w:eastAsia="sk-SK"/>
        </w:rPr>
        <w:t xml:space="preserve"> 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VPP PPEZ 14. </w:t>
      </w:r>
    </w:p>
    <w:p w:rsidR="00C57367" w:rsidRPr="00AB7D76" w:rsidRDefault="00C57367" w:rsidP="005722D4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Cs/>
          <w:sz w:val="21"/>
          <w:szCs w:val="21"/>
          <w:lang w:eastAsia="sk-SK"/>
        </w:rPr>
      </w:pP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Súčasne svojím podpisom zákazník potvrdzuje, že bol informovaný o tom, že vyššie uvedené dokumenty má k dispozícii na </w:t>
      </w:r>
      <w:r w:rsidR="00EA127E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webovom sídle Poistníka v sekcii: </w:t>
      </w:r>
      <w:hyperlink r:id="rId11" w:history="1">
        <w:r w:rsidRPr="00AB7D76">
          <w:rPr>
            <w:rFonts w:ascii="Arial Narrow" w:hAnsi="Arial Narrow" w:cs="Arial"/>
            <w:bCs/>
            <w:sz w:val="21"/>
            <w:szCs w:val="21"/>
            <w:lang w:eastAsia="sk-SK"/>
          </w:rPr>
          <w:t>www.telekom.sk/poistenie</w:t>
        </w:r>
      </w:hyperlink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. Zároveň vyhlasuje, že prevzal </w:t>
      </w:r>
      <w:r w:rsidR="00692978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jeden (1) rovnopis tohto Súhlasu a 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>Prehľad podmienok poistenia elektronického zariadenia</w:t>
      </w:r>
      <w:r w:rsidR="000E0E15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a VPP PPEZ 14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. </w:t>
      </w:r>
    </w:p>
    <w:p w:rsidR="00983874" w:rsidRPr="00AB7D76" w:rsidRDefault="00983874" w:rsidP="005722D4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Cs/>
          <w:sz w:val="21"/>
          <w:szCs w:val="21"/>
          <w:lang w:eastAsia="sk-SK"/>
        </w:rPr>
      </w:pP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Tento </w:t>
      </w:r>
      <w:r w:rsidR="002A26B1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Súhlas </w:t>
      </w:r>
      <w:r w:rsidR="00811632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nadobúda účinnosť dňom </w:t>
      </w:r>
      <w:r w:rsidR="00742CB0" w:rsidRPr="00AB7D76">
        <w:rPr>
          <w:rFonts w:ascii="Arial Narrow" w:hAnsi="Arial Narrow" w:cs="Arial"/>
          <w:bCs/>
          <w:sz w:val="21"/>
          <w:szCs w:val="21"/>
          <w:lang w:eastAsia="sk-SK"/>
        </w:rPr>
        <w:t>potvrdenia jeho</w:t>
      </w:r>
      <w:r w:rsidR="00692978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prevzatia </w:t>
      </w:r>
      <w:r w:rsidR="00742CB0" w:rsidRPr="00AB7D76">
        <w:rPr>
          <w:rFonts w:ascii="Arial Narrow" w:hAnsi="Arial Narrow" w:cs="Arial"/>
          <w:bCs/>
          <w:sz w:val="21"/>
          <w:szCs w:val="21"/>
          <w:lang w:eastAsia="sk-SK"/>
        </w:rPr>
        <w:t>P</w:t>
      </w:r>
      <w:r w:rsidR="00692978" w:rsidRPr="00AB7D76">
        <w:rPr>
          <w:rFonts w:ascii="Arial Narrow" w:hAnsi="Arial Narrow" w:cs="Arial"/>
          <w:bCs/>
          <w:sz w:val="21"/>
          <w:szCs w:val="21"/>
          <w:lang w:eastAsia="sk-SK"/>
        </w:rPr>
        <w:t>oistníkom alebo jeho zástupcom</w:t>
      </w:r>
      <w:r w:rsidR="00811632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a </w:t>
      </w:r>
      <w:r w:rsidR="002A26B1" w:rsidRPr="00AB7D76">
        <w:rPr>
          <w:rFonts w:ascii="Arial Narrow" w:hAnsi="Arial Narrow" w:cs="Arial"/>
          <w:bCs/>
          <w:sz w:val="21"/>
          <w:szCs w:val="21"/>
          <w:lang w:eastAsia="sk-SK"/>
        </w:rPr>
        <w:t>je vyhotovený v dvoch rovnopisoch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>.</w:t>
      </w:r>
    </w:p>
    <w:p w:rsidR="00983874" w:rsidRPr="00AB7D76" w:rsidRDefault="00983874" w:rsidP="005722D4">
      <w:pPr>
        <w:pStyle w:val="Default"/>
        <w:jc w:val="both"/>
        <w:rPr>
          <w:rFonts w:ascii="Arial Narrow" w:hAnsi="Arial Narrow"/>
          <w:sz w:val="21"/>
          <w:szCs w:val="21"/>
        </w:rPr>
        <w:sectPr w:rsidR="00983874" w:rsidRPr="00AB7D76" w:rsidSect="005722D4">
          <w:headerReference w:type="first" r:id="rId12"/>
          <w:pgSz w:w="11906" w:h="16838" w:code="9"/>
          <w:pgMar w:top="355" w:right="566" w:bottom="426" w:left="567" w:header="142" w:footer="169" w:gutter="0"/>
          <w:cols w:space="708"/>
          <w:titlePg/>
          <w:docGrid w:linePitch="272"/>
        </w:sectPr>
      </w:pP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.....................................................</w:t>
      </w: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Miesto a dátum</w:t>
      </w: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..........................................................</w:t>
      </w: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Podpis poistenej osoby</w:t>
      </w: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7D3C17" w:rsidRPr="00AB7D76" w:rsidRDefault="007D3C17" w:rsidP="005722D4">
      <w:pPr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Prevzal: ...............................</w:t>
      </w:r>
    </w:p>
    <w:p w:rsidR="002A26B1" w:rsidRPr="00AB7D76" w:rsidRDefault="007D3C17" w:rsidP="005722D4">
      <w:pPr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Podpis a pečiatka Poistníka resp. zástupcu Poistníka</w:t>
      </w:r>
    </w:p>
    <w:p w:rsidR="007D3C17" w:rsidRPr="00AB7D76" w:rsidRDefault="007D3C17" w:rsidP="005722D4">
      <w:pPr>
        <w:rPr>
          <w:rFonts w:ascii="Arial Narrow" w:hAnsi="Arial Narrow" w:cs="Arial"/>
          <w:sz w:val="21"/>
          <w:szCs w:val="21"/>
        </w:rPr>
      </w:pPr>
    </w:p>
    <w:p w:rsidR="007D3C17" w:rsidRPr="00AB7D76" w:rsidRDefault="007D3C17" w:rsidP="005722D4">
      <w:pPr>
        <w:rPr>
          <w:rFonts w:ascii="Arial Narrow" w:hAnsi="Arial Narrow" w:cs="Arial"/>
          <w:sz w:val="21"/>
          <w:szCs w:val="21"/>
        </w:rPr>
      </w:pPr>
    </w:p>
    <w:p w:rsidR="007D3C17" w:rsidRPr="00AB7D76" w:rsidRDefault="007D3C17" w:rsidP="005722D4">
      <w:pPr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Dátum:.....................  Miesto:.....................................</w:t>
      </w: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  <w:sectPr w:rsidR="00C57367" w:rsidRPr="00AB7D76" w:rsidSect="005722D4">
          <w:type w:val="continuous"/>
          <w:pgSz w:w="11906" w:h="16838" w:code="9"/>
          <w:pgMar w:top="720" w:right="849" w:bottom="426" w:left="993" w:header="709" w:footer="709" w:gutter="0"/>
          <w:cols w:num="2" w:space="708"/>
          <w:docGrid w:linePitch="272"/>
        </w:sectPr>
      </w:pP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b/>
          <w:bCs/>
          <w:sz w:val="21"/>
          <w:szCs w:val="21"/>
        </w:rPr>
      </w:pPr>
      <w:r w:rsidRPr="00AB7D76">
        <w:rPr>
          <w:rFonts w:ascii="Arial Narrow" w:hAnsi="Arial Narrow"/>
          <w:b/>
          <w:sz w:val="21"/>
          <w:szCs w:val="21"/>
        </w:rPr>
        <w:lastRenderedPageBreak/>
        <w:t>Prehľad podmienok poistenia elektronického zariadenia</w:t>
      </w: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b/>
          <w:bCs/>
          <w:sz w:val="21"/>
          <w:szCs w:val="21"/>
        </w:rPr>
      </w:pPr>
    </w:p>
    <w:p w:rsidR="00341A65" w:rsidRPr="00AB7D76" w:rsidRDefault="00341A65" w:rsidP="005722D4">
      <w:pPr>
        <w:pStyle w:val="Default"/>
        <w:jc w:val="both"/>
        <w:rPr>
          <w:rFonts w:ascii="Arial Narrow" w:hAnsi="Arial Narrow"/>
          <w:b/>
          <w:bCs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 xml:space="preserve">Informácie uvedené v tomto dokumente majú iba informatívny charakter. Záväzný </w:t>
      </w:r>
      <w:r w:rsidR="00D06363" w:rsidRPr="00AB7D76">
        <w:rPr>
          <w:rFonts w:ascii="Arial Narrow" w:hAnsi="Arial Narrow"/>
          <w:b/>
          <w:bCs/>
          <w:sz w:val="21"/>
          <w:szCs w:val="21"/>
        </w:rPr>
        <w:t xml:space="preserve">a úplný </w:t>
      </w:r>
      <w:r w:rsidRPr="00AB7D76">
        <w:rPr>
          <w:rFonts w:ascii="Arial Narrow" w:hAnsi="Arial Narrow"/>
          <w:b/>
          <w:bCs/>
          <w:sz w:val="21"/>
          <w:szCs w:val="21"/>
        </w:rPr>
        <w:t>rozsah práv a povinností vyplývajúcich poistenému z poistenia elektronického zariadenia je uvedený v Poistnej zmluve skupinového poistenia č. 9050588198 a VPP PPEZ 14.</w:t>
      </w:r>
    </w:p>
    <w:p w:rsidR="00341A65" w:rsidRPr="00AB7D76" w:rsidRDefault="00341A65" w:rsidP="005722D4">
      <w:pPr>
        <w:pStyle w:val="Default"/>
        <w:jc w:val="both"/>
        <w:rPr>
          <w:rFonts w:ascii="Arial Narrow" w:hAnsi="Arial Narrow"/>
          <w:bCs/>
          <w:sz w:val="21"/>
          <w:szCs w:val="21"/>
        </w:rPr>
      </w:pPr>
    </w:p>
    <w:p w:rsidR="009C77FF" w:rsidRPr="00AB7D76" w:rsidRDefault="009C77FF" w:rsidP="005722D4">
      <w:pPr>
        <w:pStyle w:val="Default"/>
        <w:jc w:val="both"/>
        <w:rPr>
          <w:rFonts w:ascii="Arial Narrow" w:hAnsi="Arial Narrow"/>
          <w:b/>
          <w:bCs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>Základné pojmy:</w:t>
      </w: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 xml:space="preserve">Poisťovateľ: </w:t>
      </w:r>
      <w:r w:rsidRPr="00AB7D76">
        <w:rPr>
          <w:rFonts w:ascii="Arial Narrow" w:hAnsi="Arial Narrow"/>
          <w:sz w:val="21"/>
          <w:szCs w:val="21"/>
        </w:rPr>
        <w:t>Generali Poisťovňa, a. s., Lamačská cesta 3/A, 841 04 Bratislava, Slovenská republika- 815 74 Bratislava, Slovenská republika, IČO: 35</w:t>
      </w:r>
      <w:r w:rsidR="00866947">
        <w:rPr>
          <w:rFonts w:ascii="Arial Narrow" w:hAnsi="Arial Narrow"/>
          <w:sz w:val="21"/>
          <w:szCs w:val="21"/>
        </w:rPr>
        <w:t> </w:t>
      </w:r>
      <w:r w:rsidRPr="00AB7D76">
        <w:rPr>
          <w:rFonts w:ascii="Arial Narrow" w:hAnsi="Arial Narrow"/>
          <w:sz w:val="21"/>
          <w:szCs w:val="21"/>
        </w:rPr>
        <w:t>709</w:t>
      </w:r>
      <w:r w:rsidR="00866947">
        <w:rPr>
          <w:rFonts w:ascii="Arial Narrow" w:hAnsi="Arial Narrow"/>
          <w:sz w:val="21"/>
          <w:szCs w:val="21"/>
        </w:rPr>
        <w:t xml:space="preserve"> </w:t>
      </w:r>
      <w:r w:rsidRPr="00AB7D76">
        <w:rPr>
          <w:rFonts w:ascii="Arial Narrow" w:hAnsi="Arial Narrow"/>
          <w:sz w:val="21"/>
          <w:szCs w:val="21"/>
        </w:rPr>
        <w:t>332, IČ DPH: SK2021000487 zapísaná v Obchodnom registri Okresného súdu Bratislava I, oddiel: Sa, vložka č.: 1325/B. Spoločnosť patrí do skupiny Generali, ktorá je uvedená v talianskom zozname skupín poisťovní vedenom IVASS.</w:t>
      </w: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>Poistník</w:t>
      </w:r>
      <w:r w:rsidRPr="00AB7D76">
        <w:rPr>
          <w:rFonts w:ascii="Arial Narrow" w:hAnsi="Arial Narrow"/>
          <w:sz w:val="21"/>
          <w:szCs w:val="21"/>
        </w:rPr>
        <w:t>: Slovak Telekom, a.s., Bajkalská 28, 817 62 Bratislava, Slovenská republika, IČO: 35 763 469, zapísaná v Obchodnom registri Okresného súdu Bratislava I, oddiel: Sa, vložka č.: 2081/B.</w:t>
      </w: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 xml:space="preserve">Poistná zmluva: </w:t>
      </w:r>
      <w:r w:rsidRPr="00AB7D76">
        <w:rPr>
          <w:rFonts w:ascii="Arial Narrow" w:hAnsi="Arial Narrow"/>
          <w:sz w:val="21"/>
          <w:szCs w:val="21"/>
        </w:rPr>
        <w:t xml:space="preserve">poistná zmluva skupinového poistenia elektronických zariadení číslo </w:t>
      </w:r>
      <w:r w:rsidRPr="00AB7D76">
        <w:rPr>
          <w:rFonts w:ascii="Arial Narrow" w:hAnsi="Arial Narrow"/>
          <w:bCs/>
          <w:sz w:val="21"/>
          <w:szCs w:val="21"/>
        </w:rPr>
        <w:t>9050588198</w:t>
      </w:r>
      <w:r w:rsidRPr="00AB7D76">
        <w:rPr>
          <w:rFonts w:ascii="Arial Narrow" w:hAnsi="Arial Narrow"/>
          <w:sz w:val="21"/>
          <w:szCs w:val="21"/>
        </w:rPr>
        <w:t xml:space="preserve"> uzavretá medzi poisťovateľom a poistníkom, ktorou sú poistené predmety poistenia spĺňajúce podmienky vstupu do poistenia. </w:t>
      </w: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>Poistený (poistená osoba)</w:t>
      </w:r>
      <w:r w:rsidRPr="00AB7D76">
        <w:rPr>
          <w:rFonts w:ascii="Arial Narrow" w:hAnsi="Arial Narrow"/>
          <w:sz w:val="21"/>
          <w:szCs w:val="21"/>
        </w:rPr>
        <w:t xml:space="preserve">: fyzická alebo právnická osoba, ktorá uzatvorila s poistníkom kúpnu zmluvu, ktorej predmetom je zakúpenie nového elektronického zariadenia, ktorého sa stáva vlastníkom a ktorá má u poistníka aktívnu verejnú elektronickú komunikačnú mobilnú hlasovú alebo dátovú službu poskytovanú poistníkom prostredníctvom mesačných programov služieb, resp. ktorej bude na základe novej Zmluvy o poskytovaní verejných služieb </w:t>
      </w:r>
      <w:r w:rsidR="003303C3" w:rsidRPr="00AB7D76">
        <w:rPr>
          <w:rFonts w:ascii="Arial Narrow" w:hAnsi="Arial Narrow"/>
          <w:sz w:val="21"/>
          <w:szCs w:val="21"/>
        </w:rPr>
        <w:t xml:space="preserve">(ďalej len „Zmluva“) </w:t>
      </w:r>
      <w:r w:rsidRPr="00AB7D76">
        <w:rPr>
          <w:rFonts w:ascii="Arial Narrow" w:hAnsi="Arial Narrow"/>
          <w:sz w:val="21"/>
          <w:szCs w:val="21"/>
        </w:rPr>
        <w:t>aktivovaná Služba v súlade s podmienkami stanovenými poistníkom, a ktorá vyjadrila Súhlas so zaradením elektronického zariadenia do poistenia</w:t>
      </w:r>
      <w:r w:rsidR="008A28C4" w:rsidRPr="00AB7D76">
        <w:rPr>
          <w:rFonts w:ascii="Arial Narrow" w:hAnsi="Arial Narrow"/>
          <w:sz w:val="21"/>
          <w:szCs w:val="21"/>
        </w:rPr>
        <w:t xml:space="preserve"> (ďalej len „Súhlas“)</w:t>
      </w:r>
      <w:r w:rsidRPr="00AB7D76">
        <w:rPr>
          <w:rFonts w:ascii="Arial Narrow" w:hAnsi="Arial Narrow"/>
          <w:sz w:val="21"/>
          <w:szCs w:val="21"/>
        </w:rPr>
        <w:t xml:space="preserve">. </w:t>
      </w: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 xml:space="preserve">Poistenie: </w:t>
      </w:r>
      <w:r w:rsidRPr="00AB7D76">
        <w:rPr>
          <w:rFonts w:ascii="Arial Narrow" w:hAnsi="Arial Narrow"/>
          <w:sz w:val="21"/>
          <w:szCs w:val="21"/>
        </w:rPr>
        <w:t xml:space="preserve">poistenie elektronických zariadení dojednané poisťovateľom a poistníkom v prospech poisteného, s podmienkami uvedenými v  dokumentoch, na ktoré tento prehľad odkazuje. </w:t>
      </w: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bCs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 xml:space="preserve">Predmet poistenia: </w:t>
      </w:r>
      <w:r w:rsidRPr="00AB7D76">
        <w:rPr>
          <w:rFonts w:ascii="Arial Narrow" w:hAnsi="Arial Narrow"/>
          <w:bCs/>
          <w:sz w:val="21"/>
          <w:szCs w:val="21"/>
        </w:rPr>
        <w:t>predmetom poistenia  sa rozumie nový, resp. nepoškodený mobilný telefón, tablet</w:t>
      </w:r>
      <w:r w:rsidR="00341A65" w:rsidRPr="00AB7D76">
        <w:rPr>
          <w:rFonts w:ascii="Arial Narrow" w:hAnsi="Arial Narrow"/>
          <w:bCs/>
          <w:sz w:val="21"/>
          <w:szCs w:val="21"/>
        </w:rPr>
        <w:t>, notebook</w:t>
      </w:r>
      <w:r w:rsidRPr="00AB7D76">
        <w:rPr>
          <w:rFonts w:ascii="Arial Narrow" w:hAnsi="Arial Narrow"/>
          <w:bCs/>
          <w:sz w:val="21"/>
          <w:szCs w:val="21"/>
        </w:rPr>
        <w:t xml:space="preserve"> alebo modem (ďalej aj "</w:t>
      </w:r>
      <w:r w:rsidR="00866947">
        <w:rPr>
          <w:rFonts w:ascii="Arial Narrow" w:hAnsi="Arial Narrow"/>
          <w:bCs/>
          <w:sz w:val="21"/>
          <w:szCs w:val="21"/>
        </w:rPr>
        <w:t>EZ"), ktoré je zakúpené</w:t>
      </w:r>
      <w:r w:rsidRPr="00AB7D76">
        <w:rPr>
          <w:rFonts w:ascii="Arial Narrow" w:hAnsi="Arial Narrow"/>
          <w:bCs/>
          <w:sz w:val="21"/>
          <w:szCs w:val="21"/>
        </w:rPr>
        <w:t xml:space="preserve"> od </w:t>
      </w:r>
      <w:r w:rsidR="00616B15" w:rsidRPr="00AB7D76">
        <w:rPr>
          <w:rFonts w:ascii="Arial Narrow" w:hAnsi="Arial Narrow"/>
          <w:bCs/>
          <w:sz w:val="21"/>
          <w:szCs w:val="21"/>
        </w:rPr>
        <w:t xml:space="preserve">Poistníka </w:t>
      </w:r>
      <w:r w:rsidRPr="00AB7D76">
        <w:rPr>
          <w:rFonts w:ascii="Arial Narrow" w:hAnsi="Arial Narrow"/>
          <w:bCs/>
          <w:sz w:val="21"/>
          <w:szCs w:val="21"/>
        </w:rPr>
        <w:t>na základe Kúpnej zmluvy</w:t>
      </w:r>
      <w:r w:rsidR="00046EB7" w:rsidRPr="00AB7D76">
        <w:rPr>
          <w:rFonts w:ascii="Arial Narrow" w:hAnsi="Arial Narrow"/>
          <w:bCs/>
          <w:sz w:val="21"/>
          <w:szCs w:val="21"/>
        </w:rPr>
        <w:t>,</w:t>
      </w:r>
      <w:r w:rsidRPr="00AB7D76">
        <w:rPr>
          <w:rFonts w:ascii="Arial Narrow" w:hAnsi="Arial Narrow"/>
          <w:bCs/>
          <w:sz w:val="21"/>
          <w:szCs w:val="21"/>
        </w:rPr>
        <w:t xml:space="preserve"> uzatvorenej spolu so Zmluvou</w:t>
      </w:r>
      <w:r w:rsidRPr="00AB7D76">
        <w:rPr>
          <w:rFonts w:ascii="Arial Narrow" w:hAnsi="Arial Narrow"/>
          <w:sz w:val="21"/>
          <w:szCs w:val="21"/>
        </w:rPr>
        <w:t>, ktorý je používaný najviac 7 kalendárnych dní odo dňa odovzdania poistenému, resp. právnemu predchodcovi poisteného</w:t>
      </w:r>
      <w:r w:rsidRPr="00AB7D76">
        <w:rPr>
          <w:rFonts w:ascii="Arial Narrow" w:hAnsi="Arial Narrow"/>
          <w:bCs/>
          <w:sz w:val="21"/>
          <w:szCs w:val="21"/>
        </w:rPr>
        <w:t xml:space="preserve">. </w:t>
      </w: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bCs/>
          <w:sz w:val="21"/>
          <w:szCs w:val="21"/>
        </w:rPr>
      </w:pPr>
    </w:p>
    <w:p w:rsidR="002A26B1" w:rsidRPr="00AB7D76" w:rsidRDefault="009C77FF" w:rsidP="005722D4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Pojmy s veľkými začiatočnými písmenami, ktoré sú bez výslovnej definície používané v tomto Prehľade podmienok poistenia elektronického zariadenia budú mať význam, ktorý je im pripisovaný v Poistnej zmluve skupinové</w:t>
      </w:r>
      <w:r w:rsidR="00866947">
        <w:rPr>
          <w:rFonts w:ascii="Arial Narrow" w:hAnsi="Arial Narrow" w:cs="Arial"/>
          <w:sz w:val="21"/>
          <w:szCs w:val="21"/>
        </w:rPr>
        <w:t>ho poistenia a/alebo v Súhlase.</w:t>
      </w: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b/>
          <w:bCs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 xml:space="preserve">Rozsah poistenia: </w:t>
      </w:r>
    </w:p>
    <w:p w:rsidR="00C57367" w:rsidRPr="00AB7D76" w:rsidRDefault="00C57367" w:rsidP="005722D4">
      <w:pPr>
        <w:pStyle w:val="Defaul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Poistenie sa dojednáva pre prípad poškodenia alebo zničenia </w:t>
      </w:r>
      <w:r w:rsidR="00866947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akoukoľvek náhodnou udalosťou, ktorá nastane nečakane a náhle a nie je ďalej vylúčená. Právo na poistné plnenie poistenému vzniká, ak dôjde k poistnej udalosti poškodením alebo zničením </w:t>
      </w:r>
      <w:r w:rsidR="00866947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najmä z týchto príčin:</w:t>
      </w:r>
    </w:p>
    <w:p w:rsidR="00C57367" w:rsidRPr="00AB7D76" w:rsidRDefault="00C57367" w:rsidP="005722D4">
      <w:pPr>
        <w:pStyle w:val="Default"/>
        <w:numPr>
          <w:ilvl w:val="0"/>
          <w:numId w:val="9"/>
        </w:numPr>
        <w:ind w:left="567" w:hanging="283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požiarom, likvidáciou požiaru, výbuchom, priamym úderom blesku, nárazom alebo zrútením lietadla, jeho časti alebo jeho nákladu;</w:t>
      </w:r>
    </w:p>
    <w:p w:rsidR="00C57367" w:rsidRPr="00AB7D76" w:rsidRDefault="00C57367" w:rsidP="005722D4">
      <w:pPr>
        <w:pStyle w:val="Default"/>
        <w:numPr>
          <w:ilvl w:val="0"/>
          <w:numId w:val="9"/>
        </w:numPr>
        <w:ind w:left="567" w:hanging="283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záplavou, povodňou, plávajúcim ľadom, víchricou, krupobitím, zosuvom pôdy, zrútením skál alebo zeminy, zosuvom alebo zrútením lavín, tiažou snehu alebo námrazy;</w:t>
      </w:r>
    </w:p>
    <w:p w:rsidR="00C57367" w:rsidRPr="00AB7D76" w:rsidRDefault="00C57367" w:rsidP="005722D4">
      <w:pPr>
        <w:pStyle w:val="Default"/>
        <w:numPr>
          <w:ilvl w:val="0"/>
          <w:numId w:val="9"/>
        </w:numPr>
        <w:ind w:left="567" w:hanging="283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pádom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>, nárazom;</w:t>
      </w:r>
    </w:p>
    <w:p w:rsidR="00C57367" w:rsidRPr="00AB7D76" w:rsidRDefault="00C57367" w:rsidP="005722D4">
      <w:pPr>
        <w:pStyle w:val="Default"/>
        <w:numPr>
          <w:ilvl w:val="0"/>
          <w:numId w:val="9"/>
        </w:numPr>
        <w:ind w:left="567" w:hanging="283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pádom stromov, stožiarov a iných predmetov;</w:t>
      </w:r>
    </w:p>
    <w:p w:rsidR="00C57367" w:rsidRPr="00AB7D76" w:rsidRDefault="00C57367" w:rsidP="005722D4">
      <w:pPr>
        <w:pStyle w:val="Default"/>
        <w:numPr>
          <w:ilvl w:val="0"/>
          <w:numId w:val="9"/>
        </w:numPr>
        <w:ind w:left="567" w:hanging="283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vodou vytekajúcou z vodovodných zariadení;</w:t>
      </w:r>
    </w:p>
    <w:p w:rsidR="00C57367" w:rsidRPr="00AB7D76" w:rsidRDefault="00C57367" w:rsidP="005722D4">
      <w:pPr>
        <w:pStyle w:val="Default"/>
        <w:numPr>
          <w:ilvl w:val="0"/>
          <w:numId w:val="9"/>
        </w:numPr>
        <w:ind w:left="567" w:hanging="283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neodborným zaobchádzaním, nesprávnou obsluhou, nešikovnosťou, nepozornosťou, nedbalosťou;</w:t>
      </w:r>
    </w:p>
    <w:p w:rsidR="00C57367" w:rsidRPr="00AB7D76" w:rsidRDefault="00C57367" w:rsidP="005722D4">
      <w:pPr>
        <w:pStyle w:val="Default"/>
        <w:numPr>
          <w:ilvl w:val="0"/>
          <w:numId w:val="9"/>
        </w:numPr>
        <w:ind w:left="567" w:hanging="283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chybou konštrukcie, vadou materiálu alebo výrobnou vadou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>;</w:t>
      </w:r>
    </w:p>
    <w:p w:rsidR="00C57367" w:rsidRPr="00AB7D76" w:rsidRDefault="00C57367" w:rsidP="005722D4">
      <w:pPr>
        <w:pStyle w:val="Default"/>
        <w:numPr>
          <w:ilvl w:val="0"/>
          <w:numId w:val="9"/>
        </w:numPr>
        <w:ind w:left="567" w:hanging="283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skratom alebo iným pôsobením elektrického prúdu (napr. prepätím, chybou izolácie, korónou, mechanickým namáhaním spôsobeným elektrickým prúdom, indukčným účinkom blesku).</w:t>
      </w:r>
    </w:p>
    <w:p w:rsidR="00C57367" w:rsidRPr="00AB7D76" w:rsidRDefault="00C57367" w:rsidP="005722D4">
      <w:pPr>
        <w:pStyle w:val="Defaul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Poistenie sa dojednáva iba pre taký prípad poškodenia alebo zničenia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>, ktoré obmedzuje alebo vylučuje funkčnosť tejto veci.</w:t>
      </w:r>
    </w:p>
    <w:p w:rsidR="005C7F1E" w:rsidRDefault="005C7F1E" w:rsidP="005722D4">
      <w:pPr>
        <w:pStyle w:val="Default"/>
        <w:jc w:val="both"/>
        <w:rPr>
          <w:rFonts w:ascii="Arial Narrow" w:hAnsi="Arial Narrow"/>
          <w:b/>
          <w:bCs/>
          <w:sz w:val="21"/>
          <w:szCs w:val="21"/>
        </w:rPr>
      </w:pP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>Výluky z poistenia:</w:t>
      </w:r>
      <w:r w:rsidRPr="00AB7D76">
        <w:rPr>
          <w:rFonts w:ascii="Arial Narrow" w:hAnsi="Arial Narrow"/>
          <w:sz w:val="21"/>
          <w:szCs w:val="21"/>
        </w:rPr>
        <w:t xml:space="preserve"> </w:t>
      </w:r>
    </w:p>
    <w:p w:rsidR="00C57367" w:rsidRPr="00AB7D76" w:rsidRDefault="00C57367" w:rsidP="005722D4">
      <w:pPr>
        <w:pStyle w:val="Default"/>
        <w:numPr>
          <w:ilvl w:val="0"/>
          <w:numId w:val="10"/>
        </w:numPr>
        <w:ind w:left="567" w:hanging="283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poistenie sa nevzťahuje na také poškodenie alebo zničenie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>, na ktoré sa vzťahuje dodávateľom poskytnutá, resp. zákonom stanovená záruka;</w:t>
      </w:r>
    </w:p>
    <w:p w:rsidR="00C57367" w:rsidRPr="00AB7D76" w:rsidRDefault="00C57367" w:rsidP="005722D4">
      <w:pPr>
        <w:pStyle w:val="Default"/>
        <w:numPr>
          <w:ilvl w:val="0"/>
          <w:numId w:val="10"/>
        </w:numPr>
        <w:ind w:left="567" w:hanging="283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poistenie nie je možné dojednať pre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>, ktoré je používané viac ako 7 kalendárnych dní odo dňa jeho odovzdania zo strany spoločnosti Slovak Telekom, a.s. kupujúcemu na základe Kúpnej zmluvy uzatvorenej spolu so Zmluvou alebo je poškodené a pre tovar určený</w:t>
      </w:r>
      <w:r w:rsidR="005C7F1E">
        <w:rPr>
          <w:rFonts w:ascii="Arial Narrow" w:hAnsi="Arial Narrow"/>
          <w:sz w:val="21"/>
          <w:szCs w:val="21"/>
        </w:rPr>
        <w:t xml:space="preserve"> na ďalší predaj. Za používané EZ </w:t>
      </w:r>
      <w:r w:rsidRPr="00AB7D76">
        <w:rPr>
          <w:rFonts w:ascii="Arial Narrow" w:hAnsi="Arial Narrow"/>
          <w:sz w:val="21"/>
          <w:szCs w:val="21"/>
        </w:rPr>
        <w:t xml:space="preserve">sa považuje každé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odo dňa jeho odovzdania zo strany spoločnosti Slovak Telekom, a.s. kupujúcemu na základe Kúpnej zmluvy uzatvorenej spolu so Zmluvou;</w:t>
      </w:r>
    </w:p>
    <w:p w:rsidR="00C57367" w:rsidRPr="00AB7D76" w:rsidRDefault="00C57367" w:rsidP="005722D4">
      <w:pPr>
        <w:pStyle w:val="Default"/>
        <w:numPr>
          <w:ilvl w:val="0"/>
          <w:numId w:val="10"/>
        </w:numPr>
        <w:ind w:left="567" w:hanging="283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poistenie sa nevzťahuje na náklady na obnovu zálohových dát a softvéru </w:t>
      </w:r>
      <w:r w:rsidR="005C7F1E">
        <w:rPr>
          <w:rFonts w:ascii="Arial Narrow" w:hAnsi="Arial Narrow"/>
          <w:sz w:val="21"/>
          <w:szCs w:val="21"/>
        </w:rPr>
        <w:t xml:space="preserve">EZ </w:t>
      </w:r>
      <w:r w:rsidRPr="00AB7D76">
        <w:rPr>
          <w:rFonts w:ascii="Arial Narrow" w:hAnsi="Arial Narrow"/>
          <w:sz w:val="21"/>
          <w:szCs w:val="21"/>
        </w:rPr>
        <w:t>ako ani na poškodenie, zničenie, stratu, alebo zneužitie SIM karty.</w:t>
      </w:r>
    </w:p>
    <w:p w:rsidR="00C57367" w:rsidRPr="00AB7D76" w:rsidRDefault="00C57367" w:rsidP="005722D4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Ďalej platia pre poistenie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výluky uvedené v článku III. Výluky z poistenia VPP PPEZ 14.</w:t>
      </w:r>
    </w:p>
    <w:p w:rsidR="00C57367" w:rsidRDefault="00C57367" w:rsidP="005722D4">
      <w:pPr>
        <w:pStyle w:val="Default"/>
        <w:jc w:val="both"/>
        <w:rPr>
          <w:rFonts w:ascii="Arial Narrow" w:hAnsi="Arial Narrow"/>
          <w:bCs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 xml:space="preserve">Škodová udalosť, hlásenie, likvidácia: </w:t>
      </w:r>
      <w:r w:rsidRPr="00AB7D76">
        <w:rPr>
          <w:rFonts w:ascii="Arial Narrow" w:hAnsi="Arial Narrow"/>
          <w:bCs/>
          <w:sz w:val="21"/>
          <w:szCs w:val="21"/>
        </w:rPr>
        <w:t>v prípade vzniku škodovej udalosti je Poistený povinný nahlásiť túto škodovú udalosť Poisťovateľovi cez kontaktné centrum Poisťovateľa, tel.</w:t>
      </w:r>
      <w:r w:rsidR="005C7F1E">
        <w:rPr>
          <w:rFonts w:ascii="Arial Narrow" w:hAnsi="Arial Narrow"/>
          <w:bCs/>
          <w:sz w:val="21"/>
          <w:szCs w:val="21"/>
        </w:rPr>
        <w:t xml:space="preserve"> </w:t>
      </w:r>
      <w:r w:rsidRPr="00AB7D76">
        <w:rPr>
          <w:rFonts w:ascii="Arial Narrow" w:hAnsi="Arial Narrow"/>
          <w:bCs/>
          <w:sz w:val="21"/>
          <w:szCs w:val="21"/>
        </w:rPr>
        <w:t xml:space="preserve">č. 0850 111 117. Následne zašle poistený poisťovateľovi vyplnený formulár – Oznámenie škody na stroji, strojnom zariadení a na elektronickom zariadení („Oznámenie škody“; formulár je dostupný na web stránke Poisťovateľa) a Doklad o vybavení reklamácie poštou na adresu Poisťovateľa, alebo v forme čitateľnej naskenovanej kópie e-mailom na adresu: </w:t>
      </w:r>
      <w:hyperlink r:id="rId13" w:history="1">
        <w:r w:rsidRPr="00AB7D76">
          <w:rPr>
            <w:rStyle w:val="Hypertextovprepojenie"/>
            <w:rFonts w:ascii="Arial Narrow" w:hAnsi="Arial Narrow"/>
            <w:bCs/>
            <w:sz w:val="21"/>
            <w:szCs w:val="21"/>
          </w:rPr>
          <w:t>registracia.sk</w:t>
        </w:r>
        <w:r w:rsidRPr="00AB7D76">
          <w:rPr>
            <w:rStyle w:val="Hypertextovprepojenie"/>
            <w:rFonts w:ascii="Arial Narrow" w:hAnsi="Arial Narrow"/>
            <w:sz w:val="21"/>
            <w:szCs w:val="21"/>
          </w:rPr>
          <w:t>@generali.com</w:t>
        </w:r>
      </w:hyperlink>
      <w:r w:rsidRPr="00AB7D76">
        <w:rPr>
          <w:rFonts w:ascii="Arial Narrow" w:hAnsi="Arial Narrow"/>
          <w:sz w:val="21"/>
          <w:szCs w:val="21"/>
        </w:rPr>
        <w:t>, alebo osobne na ktorúkoľvek pobočku Poisťovateľa.</w:t>
      </w:r>
      <w:r w:rsidR="005C7F1E">
        <w:rPr>
          <w:rFonts w:ascii="Arial Narrow" w:hAnsi="Arial Narrow"/>
          <w:bCs/>
          <w:sz w:val="21"/>
          <w:szCs w:val="21"/>
        </w:rPr>
        <w:t xml:space="preserve"> Pri zistení</w:t>
      </w:r>
      <w:r w:rsidRPr="00AB7D76">
        <w:rPr>
          <w:rFonts w:ascii="Arial Narrow" w:hAnsi="Arial Narrow"/>
          <w:bCs/>
          <w:sz w:val="21"/>
          <w:szCs w:val="21"/>
        </w:rPr>
        <w:t xml:space="preserve"> akejkoľvek nefunkčnosti </w:t>
      </w:r>
      <w:r w:rsidR="005C7F1E">
        <w:rPr>
          <w:rFonts w:ascii="Arial Narrow" w:hAnsi="Arial Narrow"/>
          <w:bCs/>
          <w:sz w:val="21"/>
          <w:szCs w:val="21"/>
        </w:rPr>
        <w:t xml:space="preserve">EZ </w:t>
      </w:r>
      <w:r w:rsidRPr="00AB7D76">
        <w:rPr>
          <w:rFonts w:ascii="Arial Narrow" w:hAnsi="Arial Narrow"/>
          <w:bCs/>
          <w:sz w:val="21"/>
          <w:szCs w:val="21"/>
        </w:rPr>
        <w:t xml:space="preserve">je poistený povinný najprv uplatniť svoje právo zo zodpovednosti za vady </w:t>
      </w:r>
      <w:r w:rsidR="005C7F1E">
        <w:rPr>
          <w:rFonts w:ascii="Arial Narrow" w:hAnsi="Arial Narrow"/>
          <w:bCs/>
          <w:sz w:val="21"/>
          <w:szCs w:val="21"/>
        </w:rPr>
        <w:t>EZ</w:t>
      </w:r>
      <w:r w:rsidRPr="00AB7D76">
        <w:rPr>
          <w:rFonts w:ascii="Arial Narrow" w:hAnsi="Arial Narrow"/>
          <w:bCs/>
          <w:sz w:val="21"/>
          <w:szCs w:val="21"/>
        </w:rPr>
        <w:t xml:space="preserve"> u Slovak Telekom, a.s. v zmysle jeho platného reklamačného poriadku, teda odovzdať </w:t>
      </w:r>
      <w:r w:rsidR="005C7F1E">
        <w:rPr>
          <w:rFonts w:ascii="Arial Narrow" w:hAnsi="Arial Narrow"/>
          <w:bCs/>
          <w:sz w:val="21"/>
          <w:szCs w:val="21"/>
        </w:rPr>
        <w:t>EZ</w:t>
      </w:r>
      <w:r w:rsidRPr="00AB7D76">
        <w:rPr>
          <w:rFonts w:ascii="Arial Narrow" w:hAnsi="Arial Narrow"/>
          <w:bCs/>
          <w:sz w:val="21"/>
          <w:szCs w:val="21"/>
        </w:rPr>
        <w:t xml:space="preserve"> na ktoromkoľvek predajnom mieste Slovak Telekom, a.s., ktorý zabezpečí posúdenie reklamovaného </w:t>
      </w:r>
      <w:r w:rsidR="005C7F1E">
        <w:rPr>
          <w:rFonts w:ascii="Arial Narrow" w:hAnsi="Arial Narrow"/>
          <w:bCs/>
          <w:sz w:val="21"/>
          <w:szCs w:val="21"/>
        </w:rPr>
        <w:t>EZ</w:t>
      </w:r>
      <w:r w:rsidRPr="00AB7D76">
        <w:rPr>
          <w:rFonts w:ascii="Arial Narrow" w:hAnsi="Arial Narrow"/>
          <w:bCs/>
          <w:sz w:val="21"/>
          <w:szCs w:val="21"/>
        </w:rPr>
        <w:t xml:space="preserve"> autorizovaným servisom a vybaví reklamáciu poisteného v zákonnej lehote. </w:t>
      </w:r>
    </w:p>
    <w:p w:rsidR="005C7F1E" w:rsidRDefault="005C7F1E" w:rsidP="005722D4">
      <w:pPr>
        <w:pStyle w:val="Default"/>
        <w:jc w:val="both"/>
        <w:rPr>
          <w:rFonts w:ascii="Arial Narrow" w:hAnsi="Arial Narrow"/>
          <w:bCs/>
          <w:sz w:val="21"/>
          <w:szCs w:val="21"/>
        </w:rPr>
      </w:pPr>
    </w:p>
    <w:p w:rsidR="0003025E" w:rsidRPr="00AB7D76" w:rsidRDefault="0003025E" w:rsidP="005722D4">
      <w:pPr>
        <w:pStyle w:val="Default"/>
        <w:jc w:val="both"/>
        <w:rPr>
          <w:rFonts w:ascii="Arial Narrow" w:hAnsi="Arial Narrow"/>
          <w:bCs/>
          <w:sz w:val="21"/>
          <w:szCs w:val="21"/>
        </w:rPr>
      </w:pP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b/>
          <w:sz w:val="21"/>
          <w:szCs w:val="21"/>
        </w:rPr>
        <w:t>Povinnosti Poisteného</w:t>
      </w:r>
      <w:r w:rsidRPr="00AB7D76">
        <w:rPr>
          <w:rFonts w:ascii="Arial Narrow" w:hAnsi="Arial Narrow"/>
          <w:sz w:val="21"/>
          <w:szCs w:val="21"/>
        </w:rPr>
        <w:t xml:space="preserve">: </w:t>
      </w:r>
    </w:p>
    <w:p w:rsidR="00C57367" w:rsidRPr="00AB7D76" w:rsidRDefault="00C57367" w:rsidP="005722D4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Článok IX. bod 1, písmeno g) VPP PPEZ 14 sa dopĺňa nasledovne: "To však neplatí, ak poistený zmení stav spôsobený poistnou udalosťou prostredníctvom autorizovaného servisu Poistníka."</w:t>
      </w:r>
    </w:p>
    <w:p w:rsidR="00C57367" w:rsidRPr="00AB7D76" w:rsidRDefault="00C57367" w:rsidP="005722D4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Článok IX. bod 1, písmeno j) VPP PPEZ 14 sa dopĺňa nasledovne: "To však neplatí, ak poistený opraví poistenú vec prostredníctvom autorizovaného servisu Poistníka, kedy predchádzajúci súhlas poisťovateľa nie je potrebný.“</w:t>
      </w: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b/>
          <w:sz w:val="21"/>
          <w:szCs w:val="21"/>
        </w:rPr>
      </w:pPr>
      <w:r w:rsidRPr="00AB7D76">
        <w:rPr>
          <w:rFonts w:ascii="Arial Narrow" w:hAnsi="Arial Narrow"/>
          <w:b/>
          <w:sz w:val="21"/>
          <w:szCs w:val="21"/>
        </w:rPr>
        <w:t xml:space="preserve">Poistná suma: </w:t>
      </w:r>
      <w:r w:rsidRPr="00AB7D76">
        <w:rPr>
          <w:rFonts w:ascii="Arial Narrow" w:hAnsi="Arial Narrow"/>
          <w:sz w:val="21"/>
          <w:szCs w:val="21"/>
        </w:rPr>
        <w:t xml:space="preserve">odchylne od článku V. bod 2, druhá veta VPP PPEZ 14 sa dojednáva, že poistnú sumu pre príslušné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predstavuje cena nedotovaného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vrátane DPH, ktorá je v čase podpisu </w:t>
      </w:r>
      <w:r w:rsidR="00341A65" w:rsidRPr="00AB7D76">
        <w:rPr>
          <w:rFonts w:ascii="Arial Narrow" w:hAnsi="Arial Narrow"/>
          <w:sz w:val="21"/>
          <w:szCs w:val="21"/>
        </w:rPr>
        <w:t xml:space="preserve">Kúpnej </w:t>
      </w:r>
      <w:r w:rsidRPr="00AB7D76">
        <w:rPr>
          <w:rFonts w:ascii="Arial Narrow" w:hAnsi="Arial Narrow"/>
          <w:sz w:val="21"/>
          <w:szCs w:val="21"/>
        </w:rPr>
        <w:t xml:space="preserve">zmluvy uvádzaná v cenníku neakciových </w:t>
      </w:r>
      <w:r w:rsidR="005C7F1E">
        <w:rPr>
          <w:rFonts w:ascii="Arial Narrow" w:hAnsi="Arial Narrow"/>
          <w:sz w:val="21"/>
          <w:szCs w:val="21"/>
        </w:rPr>
        <w:t xml:space="preserve">EZ </w:t>
      </w:r>
      <w:r w:rsidRPr="00AB7D76">
        <w:rPr>
          <w:rFonts w:ascii="Arial Narrow" w:hAnsi="Arial Narrow"/>
          <w:sz w:val="21"/>
          <w:szCs w:val="21"/>
        </w:rPr>
        <w:t>Slovak Telekom, a.s..</w:t>
      </w:r>
    </w:p>
    <w:p w:rsidR="00C57367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b/>
          <w:sz w:val="21"/>
          <w:szCs w:val="21"/>
        </w:rPr>
        <w:t>Služba</w:t>
      </w:r>
      <w:r w:rsidRPr="00AB7D76">
        <w:rPr>
          <w:rFonts w:ascii="Arial Narrow" w:hAnsi="Arial Narrow"/>
          <w:sz w:val="21"/>
          <w:szCs w:val="21"/>
        </w:rPr>
        <w:t xml:space="preserve">: Verejná elektronická komunikačná služba poskytovaná zákazníkovi resp. </w:t>
      </w:r>
      <w:r w:rsidR="004923ED" w:rsidRPr="00AB7D76">
        <w:rPr>
          <w:rFonts w:ascii="Arial Narrow" w:hAnsi="Arial Narrow"/>
          <w:sz w:val="21"/>
          <w:szCs w:val="21"/>
        </w:rPr>
        <w:t>P</w:t>
      </w:r>
      <w:r w:rsidRPr="00AB7D76">
        <w:rPr>
          <w:rFonts w:ascii="Arial Narrow" w:hAnsi="Arial Narrow"/>
          <w:sz w:val="21"/>
          <w:szCs w:val="21"/>
        </w:rPr>
        <w:t>oistenému na základe Zmluvy. Službou sa rozumie iba verejná elektronická komunikačná mobilná hlasová alebo dátová služba, poskytovaná Poistníkom prostredníctvom mesačných programov služieb, s viazanosťou min. 24 mesiacov.</w:t>
      </w:r>
    </w:p>
    <w:p w:rsidR="005C7F1E" w:rsidRPr="00AB7D76" w:rsidRDefault="005C7F1E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5C7F1E" w:rsidP="005722D4">
      <w:pPr>
        <w:pStyle w:val="Default"/>
        <w:jc w:val="both"/>
        <w:rPr>
          <w:rFonts w:ascii="Arial Narrow" w:hAnsi="Arial Narrow"/>
          <w:b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>Začiatok, doba</w:t>
      </w:r>
      <w:r w:rsidR="00C57367" w:rsidRPr="00AB7D76">
        <w:rPr>
          <w:rFonts w:ascii="Arial Narrow" w:hAnsi="Arial Narrow"/>
          <w:b/>
          <w:bCs/>
          <w:sz w:val="21"/>
          <w:szCs w:val="21"/>
        </w:rPr>
        <w:t xml:space="preserve"> trvania </w:t>
      </w:r>
      <w:r w:rsidR="005C5197" w:rsidRPr="00AB7D76">
        <w:rPr>
          <w:rFonts w:ascii="Arial Narrow" w:hAnsi="Arial Narrow"/>
          <w:b/>
          <w:bCs/>
          <w:sz w:val="21"/>
          <w:szCs w:val="21"/>
        </w:rPr>
        <w:t xml:space="preserve">a zánik </w:t>
      </w:r>
      <w:r w:rsidR="00C57367" w:rsidRPr="00AB7D76">
        <w:rPr>
          <w:rFonts w:ascii="Arial Narrow" w:hAnsi="Arial Narrow"/>
          <w:b/>
          <w:bCs/>
          <w:sz w:val="21"/>
          <w:szCs w:val="21"/>
        </w:rPr>
        <w:t>poistenia:</w:t>
      </w:r>
    </w:p>
    <w:p w:rsidR="00C57367" w:rsidRPr="00AB7D76" w:rsidRDefault="00C57367" w:rsidP="005722D4">
      <w:pPr>
        <w:pStyle w:val="Default"/>
        <w:numPr>
          <w:ilvl w:val="0"/>
          <w:numId w:val="12"/>
        </w:numPr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Odchylne od článku VI., bodu 1. VPP PPEZ 14 sa dojednáva, že poistenie vzniká </w:t>
      </w:r>
      <w:r w:rsidR="00D06363" w:rsidRPr="00AB7D76">
        <w:rPr>
          <w:rFonts w:ascii="Arial Narrow" w:hAnsi="Arial Narrow"/>
          <w:sz w:val="21"/>
          <w:szCs w:val="21"/>
        </w:rPr>
        <w:t xml:space="preserve">dňom účinnosti Súhlasu, za podmienky, že Poistník túto skutočnosť oznámi Poisťovateľovi do 30 dní od účinnosti Súhlasu. </w:t>
      </w:r>
      <w:r w:rsidRPr="00AB7D76">
        <w:rPr>
          <w:rFonts w:ascii="Arial Narrow" w:hAnsi="Arial Narrow"/>
          <w:sz w:val="21"/>
          <w:szCs w:val="21"/>
        </w:rPr>
        <w:t xml:space="preserve">V opačnom prípade poistenie vzniká až momentom doručenia oznámenia Poistníka o zaradení </w:t>
      </w:r>
      <w:r w:rsidR="005C7F1E">
        <w:rPr>
          <w:rFonts w:ascii="Arial Narrow" w:hAnsi="Arial Narrow"/>
          <w:sz w:val="21"/>
          <w:szCs w:val="21"/>
        </w:rPr>
        <w:t xml:space="preserve">EZ </w:t>
      </w:r>
      <w:r w:rsidRPr="00AB7D76">
        <w:rPr>
          <w:rFonts w:ascii="Arial Narrow" w:hAnsi="Arial Narrow"/>
          <w:sz w:val="21"/>
          <w:szCs w:val="21"/>
        </w:rPr>
        <w:t>do poistenia.</w:t>
      </w:r>
    </w:p>
    <w:p w:rsidR="00C57367" w:rsidRPr="005C7F1E" w:rsidRDefault="00C57367" w:rsidP="005722D4">
      <w:pPr>
        <w:pStyle w:val="Default"/>
        <w:numPr>
          <w:ilvl w:val="0"/>
          <w:numId w:val="12"/>
        </w:numPr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5C7F1E">
        <w:rPr>
          <w:rFonts w:ascii="Arial Narrow" w:hAnsi="Arial Narrow"/>
          <w:sz w:val="21"/>
          <w:szCs w:val="21"/>
        </w:rPr>
        <w:t xml:space="preserve">Odchylne od článku VI., bodu 4. VPP PPEZ 14 </w:t>
      </w:r>
      <w:r w:rsidR="00756760" w:rsidRPr="005C7F1E">
        <w:rPr>
          <w:rFonts w:ascii="Arial Narrow" w:hAnsi="Arial Narrow"/>
          <w:sz w:val="21"/>
          <w:szCs w:val="21"/>
        </w:rPr>
        <w:t xml:space="preserve">je </w:t>
      </w:r>
      <w:r w:rsidRPr="005C7F1E">
        <w:rPr>
          <w:rFonts w:ascii="Arial Narrow" w:hAnsi="Arial Narrow"/>
          <w:sz w:val="21"/>
          <w:szCs w:val="21"/>
        </w:rPr>
        <w:t xml:space="preserve">poistenie </w:t>
      </w:r>
      <w:r w:rsidR="00756760" w:rsidRPr="005C7F1E">
        <w:rPr>
          <w:rFonts w:ascii="Arial Narrow" w:hAnsi="Arial Narrow"/>
          <w:sz w:val="21"/>
          <w:szCs w:val="21"/>
        </w:rPr>
        <w:t xml:space="preserve">vo vzťahu k jednotlivému </w:t>
      </w:r>
      <w:r w:rsidR="005C7F1E">
        <w:rPr>
          <w:rFonts w:ascii="Arial Narrow" w:hAnsi="Arial Narrow"/>
          <w:sz w:val="21"/>
          <w:szCs w:val="21"/>
        </w:rPr>
        <w:t>EZ</w:t>
      </w:r>
      <w:r w:rsidR="00D06363" w:rsidRPr="005C7F1E">
        <w:rPr>
          <w:rFonts w:ascii="Arial Narrow" w:hAnsi="Arial Narrow"/>
          <w:sz w:val="21"/>
          <w:szCs w:val="21"/>
        </w:rPr>
        <w:t xml:space="preserve"> dojednané iba</w:t>
      </w:r>
      <w:r w:rsidR="00756760" w:rsidRPr="005C7F1E">
        <w:rPr>
          <w:rFonts w:ascii="Arial Narrow" w:hAnsi="Arial Narrow"/>
          <w:sz w:val="21"/>
          <w:szCs w:val="21"/>
        </w:rPr>
        <w:t xml:space="preserve"> </w:t>
      </w:r>
      <w:r w:rsidRPr="005C7F1E">
        <w:rPr>
          <w:rFonts w:ascii="Arial Narrow" w:hAnsi="Arial Narrow"/>
          <w:sz w:val="21"/>
          <w:szCs w:val="21"/>
        </w:rPr>
        <w:t>na dobu určitú</w:t>
      </w:r>
      <w:r w:rsidR="00406457" w:rsidRPr="005C7F1E">
        <w:rPr>
          <w:rFonts w:ascii="Arial Narrow" w:hAnsi="Arial Narrow"/>
          <w:sz w:val="21"/>
          <w:szCs w:val="21"/>
        </w:rPr>
        <w:t xml:space="preserve">, ktorou je doba viazanosti na poskytovanie Služby </w:t>
      </w:r>
      <w:r w:rsidR="00616B15" w:rsidRPr="005C7F1E">
        <w:rPr>
          <w:rFonts w:ascii="Arial Narrow" w:hAnsi="Arial Narrow"/>
          <w:sz w:val="21"/>
          <w:szCs w:val="21"/>
        </w:rPr>
        <w:t>P</w:t>
      </w:r>
      <w:r w:rsidR="00406457" w:rsidRPr="005C7F1E">
        <w:rPr>
          <w:rFonts w:ascii="Arial Narrow" w:hAnsi="Arial Narrow"/>
          <w:sz w:val="21"/>
          <w:szCs w:val="21"/>
        </w:rPr>
        <w:t>oistenému Poistníkom na základe Zmluvy</w:t>
      </w:r>
      <w:r w:rsidR="00614CD0" w:rsidRPr="005C7F1E">
        <w:rPr>
          <w:rFonts w:ascii="Arial Narrow" w:hAnsi="Arial Narrow"/>
          <w:sz w:val="21"/>
          <w:szCs w:val="21"/>
        </w:rPr>
        <w:t>, max. 24 mesiacov</w:t>
      </w:r>
      <w:r w:rsidR="004D33CE" w:rsidRPr="005C7F1E">
        <w:rPr>
          <w:rFonts w:ascii="Arial Narrow" w:hAnsi="Arial Narrow"/>
          <w:sz w:val="21"/>
          <w:szCs w:val="21"/>
        </w:rPr>
        <w:t>.</w:t>
      </w:r>
      <w:r w:rsidRPr="005C7F1E">
        <w:rPr>
          <w:rFonts w:ascii="Arial Narrow" w:hAnsi="Arial Narrow"/>
          <w:sz w:val="21"/>
          <w:szCs w:val="21"/>
        </w:rPr>
        <w:t xml:space="preserve"> </w:t>
      </w:r>
    </w:p>
    <w:p w:rsidR="00C57367" w:rsidRPr="005C7F1E" w:rsidRDefault="00C57367" w:rsidP="005722D4">
      <w:pPr>
        <w:pStyle w:val="Default"/>
        <w:numPr>
          <w:ilvl w:val="0"/>
          <w:numId w:val="12"/>
        </w:numPr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5C7F1E">
        <w:rPr>
          <w:rFonts w:ascii="Arial Narrow" w:hAnsi="Arial Narrow"/>
          <w:sz w:val="21"/>
          <w:szCs w:val="21"/>
        </w:rPr>
        <w:t xml:space="preserve">Pod dobou viazanosti na poskytovanie Služby </w:t>
      </w:r>
      <w:r w:rsidR="00012988" w:rsidRPr="005C7F1E">
        <w:rPr>
          <w:rFonts w:ascii="Arial Narrow" w:hAnsi="Arial Narrow"/>
          <w:sz w:val="21"/>
          <w:szCs w:val="21"/>
        </w:rPr>
        <w:t>P</w:t>
      </w:r>
      <w:r w:rsidR="00096E5F" w:rsidRPr="005C7F1E">
        <w:rPr>
          <w:rFonts w:ascii="Arial Narrow" w:hAnsi="Arial Narrow"/>
          <w:sz w:val="21"/>
          <w:szCs w:val="21"/>
        </w:rPr>
        <w:t xml:space="preserve">oistenému </w:t>
      </w:r>
      <w:r w:rsidR="00012988" w:rsidRPr="005C7F1E">
        <w:rPr>
          <w:rFonts w:ascii="Arial Narrow" w:hAnsi="Arial Narrow"/>
          <w:sz w:val="21"/>
          <w:szCs w:val="21"/>
        </w:rPr>
        <w:t>P</w:t>
      </w:r>
      <w:r w:rsidR="00096E5F" w:rsidRPr="005C7F1E">
        <w:rPr>
          <w:rFonts w:ascii="Arial Narrow" w:hAnsi="Arial Narrow"/>
          <w:sz w:val="21"/>
          <w:szCs w:val="21"/>
        </w:rPr>
        <w:t>oistníkom</w:t>
      </w:r>
      <w:r w:rsidRPr="005C7F1E">
        <w:rPr>
          <w:rFonts w:ascii="Arial Narrow" w:hAnsi="Arial Narrow"/>
          <w:sz w:val="21"/>
          <w:szCs w:val="21"/>
        </w:rPr>
        <w:t xml:space="preserve"> sa rozumie pôvodná doba viazanosti dohodnutá v Zmluve, bez dojednania novej d</w:t>
      </w:r>
      <w:r w:rsidR="005C7F1E">
        <w:rPr>
          <w:rFonts w:ascii="Arial Narrow" w:hAnsi="Arial Narrow"/>
          <w:sz w:val="21"/>
          <w:szCs w:val="21"/>
        </w:rPr>
        <w:t>oby viazanosti, počas ktorej je</w:t>
      </w:r>
      <w:r w:rsidRPr="005C7F1E">
        <w:rPr>
          <w:rFonts w:ascii="Arial Narrow" w:hAnsi="Arial Narrow"/>
          <w:sz w:val="21"/>
          <w:szCs w:val="21"/>
        </w:rPr>
        <w:t xml:space="preserve"> Služba poskytovaná bez prerušenia </w:t>
      </w:r>
      <w:r w:rsidR="00012988" w:rsidRPr="005C7F1E">
        <w:rPr>
          <w:rFonts w:ascii="Arial Narrow" w:hAnsi="Arial Narrow"/>
          <w:sz w:val="21"/>
          <w:szCs w:val="21"/>
        </w:rPr>
        <w:t xml:space="preserve">Služby, </w:t>
      </w:r>
      <w:r w:rsidRPr="005C7F1E">
        <w:rPr>
          <w:rFonts w:ascii="Arial Narrow" w:hAnsi="Arial Narrow"/>
          <w:sz w:val="21"/>
          <w:szCs w:val="21"/>
        </w:rPr>
        <w:t xml:space="preserve">spočívajúceho v zablokovaní prichádzajúcich a odchádzajúcich verejných elektronických komunikačných služieb </w:t>
      </w:r>
      <w:r w:rsidR="00046EB7" w:rsidRPr="005C7F1E">
        <w:rPr>
          <w:rFonts w:ascii="Arial Narrow" w:hAnsi="Arial Narrow"/>
          <w:sz w:val="21"/>
          <w:szCs w:val="21"/>
        </w:rPr>
        <w:t>Poistenému zo strany P</w:t>
      </w:r>
      <w:r w:rsidRPr="005C7F1E">
        <w:rPr>
          <w:rFonts w:ascii="Arial Narrow" w:hAnsi="Arial Narrow"/>
          <w:sz w:val="21"/>
          <w:szCs w:val="21"/>
        </w:rPr>
        <w:t xml:space="preserve">oistníka, a to v dôsledku porušenia povinností stanovených príslušnou Zmluvou zo strany </w:t>
      </w:r>
      <w:r w:rsidR="00616B15" w:rsidRPr="005C7F1E">
        <w:rPr>
          <w:rFonts w:ascii="Arial Narrow" w:hAnsi="Arial Narrow"/>
          <w:sz w:val="21"/>
          <w:szCs w:val="21"/>
        </w:rPr>
        <w:t>P</w:t>
      </w:r>
      <w:r w:rsidR="00096E5F" w:rsidRPr="005C7F1E">
        <w:rPr>
          <w:rFonts w:ascii="Arial Narrow" w:hAnsi="Arial Narrow"/>
          <w:sz w:val="21"/>
          <w:szCs w:val="21"/>
        </w:rPr>
        <w:t>oisteného</w:t>
      </w:r>
      <w:r w:rsidRPr="005C7F1E">
        <w:rPr>
          <w:rFonts w:ascii="Arial Narrow" w:hAnsi="Arial Narrow"/>
          <w:sz w:val="21"/>
          <w:szCs w:val="21"/>
        </w:rPr>
        <w:t xml:space="preserve">. </w:t>
      </w:r>
    </w:p>
    <w:p w:rsidR="002A26B1" w:rsidRPr="00AB7D76" w:rsidRDefault="005C7F1E" w:rsidP="005722D4">
      <w:pPr>
        <w:pStyle w:val="Default"/>
        <w:numPr>
          <w:ilvl w:val="0"/>
          <w:numId w:val="12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K zániku </w:t>
      </w:r>
      <w:r w:rsidR="005C5197" w:rsidRPr="00AB7D76">
        <w:rPr>
          <w:rFonts w:ascii="Arial Narrow" w:hAnsi="Arial Narrow"/>
          <w:sz w:val="21"/>
          <w:szCs w:val="21"/>
        </w:rPr>
        <w:t xml:space="preserve">poistenia jednotlivého </w:t>
      </w:r>
      <w:r>
        <w:rPr>
          <w:rFonts w:ascii="Arial Narrow" w:hAnsi="Arial Narrow"/>
          <w:sz w:val="21"/>
          <w:szCs w:val="21"/>
        </w:rPr>
        <w:t>EZ</w:t>
      </w:r>
      <w:r w:rsidR="005C5197" w:rsidRPr="00AB7D76">
        <w:rPr>
          <w:rFonts w:ascii="Arial Narrow" w:hAnsi="Arial Narrow"/>
          <w:sz w:val="21"/>
          <w:szCs w:val="21"/>
        </w:rPr>
        <w:t xml:space="preserve"> pred uplynutím jeho doby trvania dochádza v nasledujúcich prípadoch:</w:t>
      </w:r>
    </w:p>
    <w:p w:rsidR="002A26B1" w:rsidRPr="00AB7D76" w:rsidRDefault="005C5197" w:rsidP="005722D4">
      <w:pPr>
        <w:pStyle w:val="Zkladntext2"/>
        <w:numPr>
          <w:ilvl w:val="0"/>
          <w:numId w:val="29"/>
        </w:numPr>
        <w:spacing w:line="240" w:lineRule="auto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 xml:space="preserve">ak dôjde v priebehu trvania poistenia vo vzťahu k jednotlivému </w:t>
      </w:r>
      <w:r w:rsidR="005C7F1E">
        <w:rPr>
          <w:rFonts w:ascii="Arial Narrow" w:hAnsi="Arial Narrow" w:cs="Arial"/>
          <w:sz w:val="21"/>
          <w:szCs w:val="21"/>
        </w:rPr>
        <w:t xml:space="preserve">EZ </w:t>
      </w:r>
      <w:r w:rsidRPr="00AB7D76">
        <w:rPr>
          <w:rFonts w:ascii="Arial Narrow" w:hAnsi="Arial Narrow" w:cs="Arial"/>
          <w:sz w:val="21"/>
          <w:szCs w:val="21"/>
        </w:rPr>
        <w:t xml:space="preserve">k vyčerpaniu poistnej sumy ako limitu poistného plnenia podľa článku 5 bod 5.3 tejto Poistnej zmluvy. V takom prípade poistenie vo vzťahu k tomuto </w:t>
      </w:r>
      <w:r w:rsidR="005C7F1E">
        <w:rPr>
          <w:rFonts w:ascii="Arial Narrow" w:hAnsi="Arial Narrow" w:cs="Arial"/>
          <w:sz w:val="21"/>
          <w:szCs w:val="21"/>
        </w:rPr>
        <w:t>EZ</w:t>
      </w:r>
      <w:r w:rsidRPr="00AB7D76">
        <w:rPr>
          <w:rFonts w:ascii="Arial Narrow" w:hAnsi="Arial Narrow" w:cs="Arial"/>
          <w:sz w:val="21"/>
          <w:szCs w:val="21"/>
        </w:rPr>
        <w:t xml:space="preserve"> zanikne ku dňu, kedy nastala poistná udalosť, vyplatením poistného plnenia za ktorú dôjde k vyčerpaniu poistnej sumy viažucej sa k predmetnému </w:t>
      </w:r>
      <w:r w:rsidR="005C7F1E">
        <w:rPr>
          <w:rFonts w:ascii="Arial Narrow" w:hAnsi="Arial Narrow" w:cs="Arial"/>
          <w:sz w:val="21"/>
          <w:szCs w:val="21"/>
        </w:rPr>
        <w:t>EZ.</w:t>
      </w:r>
    </w:p>
    <w:p w:rsidR="002A26B1" w:rsidRPr="00AB7D76" w:rsidRDefault="005C5197" w:rsidP="005722D4">
      <w:pPr>
        <w:pStyle w:val="Zkladntext2"/>
        <w:numPr>
          <w:ilvl w:val="0"/>
          <w:numId w:val="29"/>
        </w:numPr>
        <w:spacing w:line="240" w:lineRule="auto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 xml:space="preserve">vyradením jednotlivého </w:t>
      </w:r>
      <w:r w:rsidR="005C7F1E">
        <w:rPr>
          <w:rFonts w:ascii="Arial Narrow" w:hAnsi="Arial Narrow" w:cs="Arial"/>
          <w:sz w:val="21"/>
          <w:szCs w:val="21"/>
        </w:rPr>
        <w:t>EZ</w:t>
      </w:r>
      <w:r w:rsidRPr="00AB7D76">
        <w:rPr>
          <w:rFonts w:ascii="Arial Narrow" w:hAnsi="Arial Narrow" w:cs="Arial"/>
          <w:sz w:val="21"/>
          <w:szCs w:val="21"/>
        </w:rPr>
        <w:t xml:space="preserve"> z poistenia zo strany Poistníka, pričom Poistník túto skutočnosť oznámi Poisťovateľovi form</w:t>
      </w:r>
      <w:r w:rsidR="005C7F1E">
        <w:rPr>
          <w:rFonts w:ascii="Arial Narrow" w:hAnsi="Arial Narrow" w:cs="Arial"/>
          <w:sz w:val="21"/>
          <w:szCs w:val="21"/>
        </w:rPr>
        <w:t>ou dátovej vety podľa článku 10</w:t>
      </w:r>
      <w:r w:rsidRPr="00AB7D76">
        <w:rPr>
          <w:rFonts w:ascii="Arial Narrow" w:hAnsi="Arial Narrow" w:cs="Arial"/>
          <w:sz w:val="21"/>
          <w:szCs w:val="21"/>
        </w:rPr>
        <w:t xml:space="preserve"> Poistnej zmluvy skupinového poistenia; v takom prípade poistenie vo vzťahu k danému poistenému </w:t>
      </w:r>
      <w:r w:rsidR="005C7F1E">
        <w:rPr>
          <w:rFonts w:ascii="Arial Narrow" w:hAnsi="Arial Narrow" w:cs="Arial"/>
          <w:sz w:val="21"/>
          <w:szCs w:val="21"/>
        </w:rPr>
        <w:t xml:space="preserve">EZ </w:t>
      </w:r>
      <w:r w:rsidRPr="00AB7D76">
        <w:rPr>
          <w:rFonts w:ascii="Arial Narrow" w:hAnsi="Arial Narrow" w:cs="Arial"/>
          <w:sz w:val="21"/>
          <w:szCs w:val="21"/>
        </w:rPr>
        <w:t>zanikne dňom oznámenia zániku poistenia Poisťovateľovi.</w:t>
      </w:r>
    </w:p>
    <w:p w:rsidR="002A26B1" w:rsidRPr="005C7F1E" w:rsidRDefault="005C5197" w:rsidP="005722D4">
      <w:pPr>
        <w:pStyle w:val="Default"/>
        <w:numPr>
          <w:ilvl w:val="0"/>
          <w:numId w:val="12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5C7F1E">
        <w:rPr>
          <w:rFonts w:ascii="Arial Narrow" w:hAnsi="Arial Narrow"/>
          <w:sz w:val="21"/>
          <w:szCs w:val="21"/>
        </w:rPr>
        <w:t xml:space="preserve">Poistník vyradí  jednotlivé </w:t>
      </w:r>
      <w:r w:rsidR="005C7F1E" w:rsidRPr="005C7F1E">
        <w:rPr>
          <w:rFonts w:ascii="Arial Narrow" w:hAnsi="Arial Narrow"/>
          <w:sz w:val="21"/>
          <w:szCs w:val="21"/>
        </w:rPr>
        <w:t>EZ</w:t>
      </w:r>
      <w:r w:rsidRPr="005C7F1E">
        <w:rPr>
          <w:rFonts w:ascii="Arial Narrow" w:hAnsi="Arial Narrow"/>
          <w:sz w:val="21"/>
          <w:szCs w:val="21"/>
        </w:rPr>
        <w:t xml:space="preserve"> z poistenia na základe nasledovných skutočností:</w:t>
      </w:r>
    </w:p>
    <w:p w:rsidR="002A26B1" w:rsidRPr="00AB7D76" w:rsidRDefault="002A26B1" w:rsidP="005722D4">
      <w:pPr>
        <w:pStyle w:val="Default"/>
        <w:numPr>
          <w:ilvl w:val="0"/>
          <w:numId w:val="28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Späťvzatie Súhlasu</w:t>
      </w:r>
      <w:r w:rsidR="009C77FF" w:rsidRPr="00AB7D76">
        <w:rPr>
          <w:rFonts w:ascii="Arial Narrow" w:hAnsi="Arial Narrow"/>
          <w:sz w:val="21"/>
          <w:szCs w:val="21"/>
        </w:rPr>
        <w:t xml:space="preserve"> </w:t>
      </w:r>
      <w:r w:rsidR="008A28C4" w:rsidRPr="00AB7D76">
        <w:rPr>
          <w:rFonts w:ascii="Arial Narrow" w:hAnsi="Arial Narrow"/>
          <w:sz w:val="21"/>
          <w:szCs w:val="21"/>
        </w:rPr>
        <w:t>P</w:t>
      </w:r>
      <w:r w:rsidRPr="00AB7D76">
        <w:rPr>
          <w:rFonts w:ascii="Arial Narrow" w:hAnsi="Arial Narrow"/>
          <w:sz w:val="21"/>
          <w:szCs w:val="21"/>
        </w:rPr>
        <w:t xml:space="preserve">oisteným, a to do 14 dní od účinnosti </w:t>
      </w:r>
      <w:r w:rsidR="008A28C4" w:rsidRPr="00AB7D76">
        <w:rPr>
          <w:rFonts w:ascii="Arial Narrow" w:hAnsi="Arial Narrow"/>
          <w:sz w:val="21"/>
          <w:szCs w:val="21"/>
        </w:rPr>
        <w:t>Súhlasu</w:t>
      </w:r>
      <w:r w:rsidRPr="00AB7D76">
        <w:rPr>
          <w:rFonts w:ascii="Arial Narrow" w:hAnsi="Arial Narrow"/>
          <w:sz w:val="21"/>
          <w:szCs w:val="21"/>
        </w:rPr>
        <w:t>, v prípade, ak bol Súhlas</w:t>
      </w:r>
      <w:r w:rsidR="008A28C4" w:rsidRPr="00AB7D76">
        <w:rPr>
          <w:rFonts w:ascii="Arial Narrow" w:hAnsi="Arial Narrow"/>
          <w:sz w:val="21"/>
          <w:szCs w:val="21"/>
        </w:rPr>
        <w:t xml:space="preserve"> </w:t>
      </w:r>
      <w:r w:rsidRPr="00AB7D76">
        <w:rPr>
          <w:rFonts w:ascii="Arial Narrow" w:hAnsi="Arial Narrow"/>
          <w:sz w:val="21"/>
          <w:szCs w:val="21"/>
        </w:rPr>
        <w:t>udeľovaný na diaľku,</w:t>
      </w:r>
      <w:bookmarkStart w:id="1" w:name="OLE_LINK1"/>
    </w:p>
    <w:p w:rsidR="002A26B1" w:rsidRPr="00AB7D76" w:rsidRDefault="005C5197" w:rsidP="005722D4">
      <w:pPr>
        <w:pStyle w:val="Default"/>
        <w:numPr>
          <w:ilvl w:val="0"/>
          <w:numId w:val="28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Žiadosť o ukončenie poistenia. </w:t>
      </w:r>
      <w:bookmarkEnd w:id="1"/>
      <w:r w:rsidR="005C7F1E">
        <w:rPr>
          <w:rFonts w:ascii="Arial Narrow" w:hAnsi="Arial Narrow"/>
          <w:sz w:val="21"/>
          <w:szCs w:val="21"/>
        </w:rPr>
        <w:t xml:space="preserve">Poistenie jednotlivého EZ </w:t>
      </w:r>
      <w:r w:rsidRPr="00AB7D76">
        <w:rPr>
          <w:rFonts w:ascii="Arial Narrow" w:hAnsi="Arial Narrow"/>
          <w:sz w:val="21"/>
          <w:szCs w:val="21"/>
        </w:rPr>
        <w:t>zanikne ku koncu nasledujúceho Zúčtovacieho obdobia, t.j. 24:00 posledného dňa Zúčtovacieho obdobia, ktoré začalo p</w:t>
      </w:r>
      <w:r w:rsidR="005C7F1E">
        <w:rPr>
          <w:rFonts w:ascii="Arial Narrow" w:hAnsi="Arial Narrow"/>
          <w:sz w:val="21"/>
          <w:szCs w:val="21"/>
        </w:rPr>
        <w:t>o doručení žiadosti o ukončenie</w:t>
      </w:r>
      <w:r w:rsidRPr="00AB7D76">
        <w:rPr>
          <w:rFonts w:ascii="Arial Narrow" w:hAnsi="Arial Narrow"/>
          <w:sz w:val="21"/>
          <w:szCs w:val="21"/>
        </w:rPr>
        <w:t xml:space="preserve"> poistenia Poistníkovi,</w:t>
      </w:r>
    </w:p>
    <w:p w:rsidR="002A26B1" w:rsidRPr="00AB7D76" w:rsidRDefault="005C5197" w:rsidP="005722D4">
      <w:pPr>
        <w:pStyle w:val="Default"/>
        <w:numPr>
          <w:ilvl w:val="0"/>
          <w:numId w:val="28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Odmietnutie plnenia podľa § 802 ods. 2 Občianskeho zákonníka,</w:t>
      </w:r>
    </w:p>
    <w:p w:rsidR="002A26B1" w:rsidRPr="00AB7D76" w:rsidRDefault="005C5197" w:rsidP="005722D4">
      <w:pPr>
        <w:pStyle w:val="Default"/>
        <w:numPr>
          <w:ilvl w:val="0"/>
          <w:numId w:val="28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Zmena v osobe účastníka Zmluvy, poistenie jednotlivého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zanikne dňom účinnosti Dohody o </w:t>
      </w:r>
      <w:r w:rsidR="002A26B1" w:rsidRPr="00AB7D76">
        <w:rPr>
          <w:rFonts w:ascii="Arial Narrow" w:hAnsi="Arial Narrow"/>
          <w:sz w:val="21"/>
          <w:szCs w:val="21"/>
        </w:rPr>
        <w:t>zmene v osobe účastníka</w:t>
      </w:r>
      <w:r w:rsidR="00DF3140" w:rsidRPr="00AB7D76">
        <w:rPr>
          <w:rFonts w:ascii="Arial Narrow" w:hAnsi="Arial Narrow"/>
          <w:sz w:val="21"/>
          <w:szCs w:val="21"/>
        </w:rPr>
        <w:t>,</w:t>
      </w:r>
    </w:p>
    <w:p w:rsidR="00050B73" w:rsidRPr="005C7F1E" w:rsidRDefault="00050B73" w:rsidP="005722D4">
      <w:pPr>
        <w:pStyle w:val="Default"/>
        <w:numPr>
          <w:ilvl w:val="0"/>
          <w:numId w:val="28"/>
        </w:numPr>
        <w:jc w:val="both"/>
        <w:rPr>
          <w:rFonts w:ascii="Arial Narrow" w:hAnsi="Arial Narrow"/>
          <w:sz w:val="21"/>
          <w:szCs w:val="21"/>
        </w:rPr>
      </w:pPr>
      <w:r w:rsidRPr="005C7F1E">
        <w:rPr>
          <w:rFonts w:ascii="Arial Narrow" w:hAnsi="Arial Narrow"/>
          <w:sz w:val="21"/>
          <w:szCs w:val="21"/>
        </w:rPr>
        <w:t xml:space="preserve">Smrťou </w:t>
      </w:r>
      <w:r w:rsidR="005C4CDA" w:rsidRPr="005C7F1E">
        <w:rPr>
          <w:rFonts w:ascii="Arial Narrow" w:hAnsi="Arial Narrow"/>
          <w:sz w:val="21"/>
          <w:szCs w:val="21"/>
        </w:rPr>
        <w:t>P</w:t>
      </w:r>
      <w:r w:rsidRPr="005C7F1E">
        <w:rPr>
          <w:rFonts w:ascii="Arial Narrow" w:hAnsi="Arial Narrow"/>
          <w:sz w:val="21"/>
          <w:szCs w:val="21"/>
        </w:rPr>
        <w:t>oisteného</w:t>
      </w:r>
      <w:r w:rsidR="00DF3140" w:rsidRPr="005C7F1E">
        <w:rPr>
          <w:rFonts w:ascii="Arial Narrow" w:hAnsi="Arial Narrow"/>
          <w:sz w:val="21"/>
          <w:szCs w:val="21"/>
        </w:rPr>
        <w:t>,</w:t>
      </w:r>
      <w:r w:rsidRPr="005C7F1E">
        <w:rPr>
          <w:rFonts w:ascii="Arial Narrow" w:hAnsi="Arial Narrow"/>
          <w:sz w:val="21"/>
          <w:szCs w:val="21"/>
        </w:rPr>
        <w:t xml:space="preserve"> a to ku dňu nastania tejto právnej skutočnosti,</w:t>
      </w:r>
    </w:p>
    <w:p w:rsidR="002A26B1" w:rsidRPr="00AB7D76" w:rsidRDefault="005C5197" w:rsidP="005722D4">
      <w:pPr>
        <w:pStyle w:val="Default"/>
        <w:numPr>
          <w:ilvl w:val="0"/>
          <w:numId w:val="28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Prechod </w:t>
      </w:r>
      <w:r w:rsidR="006671FC" w:rsidRPr="00AB7D76">
        <w:rPr>
          <w:rFonts w:ascii="Arial Narrow" w:hAnsi="Arial Narrow"/>
          <w:sz w:val="21"/>
          <w:szCs w:val="21"/>
        </w:rPr>
        <w:t>Poisteného</w:t>
      </w:r>
      <w:r w:rsidRPr="00AB7D76">
        <w:rPr>
          <w:rFonts w:ascii="Arial Narrow" w:hAnsi="Arial Narrow"/>
          <w:sz w:val="21"/>
          <w:szCs w:val="21"/>
        </w:rPr>
        <w:t xml:space="preserve"> k inému podniku (operátorovi)</w:t>
      </w:r>
      <w:r w:rsidR="00645A11" w:rsidRPr="00AB7D76">
        <w:rPr>
          <w:rFonts w:ascii="Arial Narrow" w:hAnsi="Arial Narrow"/>
          <w:sz w:val="21"/>
          <w:szCs w:val="21"/>
        </w:rPr>
        <w:t xml:space="preserve"> </w:t>
      </w:r>
      <w:r w:rsidR="002A26B1" w:rsidRPr="00AB7D76">
        <w:rPr>
          <w:rFonts w:ascii="Arial Narrow" w:hAnsi="Arial Narrow"/>
          <w:sz w:val="21"/>
          <w:szCs w:val="21"/>
        </w:rPr>
        <w:t>v zmysle § 5 Zákona č. 351/2011 Z.</w:t>
      </w:r>
      <w:r w:rsidR="005C7F1E">
        <w:rPr>
          <w:rFonts w:ascii="Arial Narrow" w:hAnsi="Arial Narrow"/>
          <w:sz w:val="21"/>
          <w:szCs w:val="21"/>
        </w:rPr>
        <w:t xml:space="preserve"> </w:t>
      </w:r>
      <w:r w:rsidR="002A26B1" w:rsidRPr="00AB7D76">
        <w:rPr>
          <w:rFonts w:ascii="Arial Narrow" w:hAnsi="Arial Narrow"/>
          <w:sz w:val="21"/>
          <w:szCs w:val="21"/>
        </w:rPr>
        <w:t>z. o elektronických komunikáciách v znení neskorších predpisov</w:t>
      </w:r>
      <w:r w:rsidRPr="00AB7D76">
        <w:rPr>
          <w:rFonts w:ascii="Arial Narrow" w:hAnsi="Arial Narrow"/>
          <w:sz w:val="21"/>
          <w:szCs w:val="21"/>
        </w:rPr>
        <w:t xml:space="preserve">, pričom dňom vyradenia jednotlivého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z poistenia je deň nadobudnutia účinnosti zmluvy o prenose čísla podpísanej medzi bývalým </w:t>
      </w:r>
      <w:r w:rsidR="005C4CDA" w:rsidRPr="00AB7D76">
        <w:rPr>
          <w:rFonts w:ascii="Arial Narrow" w:hAnsi="Arial Narrow"/>
          <w:sz w:val="21"/>
          <w:szCs w:val="21"/>
        </w:rPr>
        <w:t>z</w:t>
      </w:r>
      <w:r w:rsidRPr="00AB7D76">
        <w:rPr>
          <w:rFonts w:ascii="Arial Narrow" w:hAnsi="Arial Narrow"/>
          <w:sz w:val="21"/>
          <w:szCs w:val="21"/>
        </w:rPr>
        <w:t>ákazníkom</w:t>
      </w:r>
      <w:r w:rsidR="005C4CDA" w:rsidRPr="00AB7D76">
        <w:rPr>
          <w:rFonts w:ascii="Arial Narrow" w:hAnsi="Arial Narrow"/>
          <w:sz w:val="21"/>
          <w:szCs w:val="21"/>
        </w:rPr>
        <w:t xml:space="preserve"> (Poisteným)</w:t>
      </w:r>
      <w:r w:rsidRPr="00AB7D76">
        <w:rPr>
          <w:rFonts w:ascii="Arial Narrow" w:hAnsi="Arial Narrow"/>
          <w:sz w:val="21"/>
          <w:szCs w:val="21"/>
        </w:rPr>
        <w:t xml:space="preserve"> a  iným podnikom, </w:t>
      </w:r>
    </w:p>
    <w:p w:rsidR="002A26B1" w:rsidRPr="00AB7D76" w:rsidRDefault="005C5197" w:rsidP="005722D4">
      <w:pPr>
        <w:pStyle w:val="Default"/>
        <w:numPr>
          <w:ilvl w:val="0"/>
          <w:numId w:val="28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Deaktivácia služby </w:t>
      </w:r>
      <w:r w:rsidR="00396D4E" w:rsidRPr="00AB7D76">
        <w:rPr>
          <w:rFonts w:ascii="Arial Narrow" w:hAnsi="Arial Narrow"/>
          <w:sz w:val="21"/>
          <w:szCs w:val="21"/>
        </w:rPr>
        <w:t>Poistenému</w:t>
      </w:r>
      <w:r w:rsidRPr="00AB7D76">
        <w:rPr>
          <w:rFonts w:ascii="Arial Narrow" w:hAnsi="Arial Narrow"/>
          <w:sz w:val="21"/>
          <w:szCs w:val="21"/>
        </w:rPr>
        <w:t xml:space="preserve"> zo strany Poistníka </w:t>
      </w:r>
      <w:r w:rsidR="005C4CDA" w:rsidRPr="00AB7D76">
        <w:rPr>
          <w:rFonts w:ascii="Arial Narrow" w:hAnsi="Arial Narrow"/>
          <w:sz w:val="21"/>
          <w:szCs w:val="21"/>
        </w:rPr>
        <w:t xml:space="preserve">za podmienok uvedených v Zmluve, </w:t>
      </w:r>
      <w:r w:rsidRPr="00AB7D76">
        <w:rPr>
          <w:rFonts w:ascii="Arial Narrow" w:hAnsi="Arial Narrow"/>
          <w:sz w:val="21"/>
          <w:szCs w:val="21"/>
        </w:rPr>
        <w:t>a to ku dňu Deaktivácie Služby,</w:t>
      </w:r>
    </w:p>
    <w:p w:rsidR="002A26B1" w:rsidRPr="00AB7D76" w:rsidRDefault="005C5197" w:rsidP="005722D4">
      <w:pPr>
        <w:pStyle w:val="Default"/>
        <w:numPr>
          <w:ilvl w:val="0"/>
          <w:numId w:val="28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Predčasná prolongácia Zmluvy,</w:t>
      </w:r>
    </w:p>
    <w:p w:rsidR="002A26B1" w:rsidRPr="00AB7D76" w:rsidRDefault="005C5197" w:rsidP="005722D4">
      <w:pPr>
        <w:pStyle w:val="Default"/>
        <w:numPr>
          <w:ilvl w:val="0"/>
          <w:numId w:val="28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Zániku Kúpnej zmluvy alebo Zmluvy, a to ku dňu ukončenia zmluvného vzťahu medzi Poistníkom a </w:t>
      </w:r>
      <w:r w:rsidR="005C4CDA" w:rsidRPr="00AB7D76">
        <w:rPr>
          <w:rFonts w:ascii="Arial Narrow" w:hAnsi="Arial Narrow"/>
          <w:sz w:val="21"/>
          <w:szCs w:val="21"/>
        </w:rPr>
        <w:t>poisteným</w:t>
      </w:r>
      <w:r w:rsidRPr="00AB7D76">
        <w:rPr>
          <w:rFonts w:ascii="Arial Narrow" w:hAnsi="Arial Narrow"/>
          <w:sz w:val="21"/>
          <w:szCs w:val="21"/>
        </w:rPr>
        <w:t>,</w:t>
      </w:r>
    </w:p>
    <w:p w:rsidR="005C4CDA" w:rsidRPr="00AB7D76" w:rsidRDefault="005C5197" w:rsidP="005722D4">
      <w:pPr>
        <w:pStyle w:val="Default"/>
        <w:numPr>
          <w:ilvl w:val="0"/>
          <w:numId w:val="28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Migrácia </w:t>
      </w:r>
      <w:r w:rsidR="005C4CDA" w:rsidRPr="00AB7D76">
        <w:rPr>
          <w:rFonts w:ascii="Arial Narrow" w:hAnsi="Arial Narrow"/>
          <w:sz w:val="21"/>
          <w:szCs w:val="21"/>
        </w:rPr>
        <w:t>Poisteného</w:t>
      </w:r>
      <w:r w:rsidRPr="00AB7D76">
        <w:rPr>
          <w:rFonts w:ascii="Arial Narrow" w:hAnsi="Arial Narrow"/>
          <w:sz w:val="21"/>
          <w:szCs w:val="21"/>
        </w:rPr>
        <w:t xml:space="preserve"> zo Služby na prepaidové verejné elektronické komunikačné služby Poistníka,</w:t>
      </w:r>
    </w:p>
    <w:p w:rsidR="002A26B1" w:rsidRPr="00AB7D76" w:rsidRDefault="005C5197" w:rsidP="005722D4">
      <w:pPr>
        <w:pStyle w:val="Default"/>
        <w:numPr>
          <w:ilvl w:val="0"/>
          <w:numId w:val="28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Zánik predmetu poistenia</w:t>
      </w:r>
      <w:r w:rsidR="00756760" w:rsidRPr="00AB7D76">
        <w:rPr>
          <w:rFonts w:ascii="Arial Narrow" w:hAnsi="Arial Narrow"/>
          <w:sz w:val="21"/>
          <w:szCs w:val="21"/>
        </w:rPr>
        <w:t>, ku dňu ozn</w:t>
      </w:r>
      <w:r w:rsidR="005C4CDA" w:rsidRPr="00AB7D76">
        <w:rPr>
          <w:rFonts w:ascii="Arial Narrow" w:hAnsi="Arial Narrow"/>
          <w:sz w:val="21"/>
          <w:szCs w:val="21"/>
        </w:rPr>
        <w:t xml:space="preserve">ámenia o zániku </w:t>
      </w:r>
      <w:r w:rsidR="005C7F1E">
        <w:rPr>
          <w:rFonts w:ascii="Arial Narrow" w:hAnsi="Arial Narrow"/>
          <w:sz w:val="21"/>
          <w:szCs w:val="21"/>
        </w:rPr>
        <w:t>EZ</w:t>
      </w:r>
      <w:r w:rsidR="00756760" w:rsidRPr="00AB7D76">
        <w:rPr>
          <w:rFonts w:ascii="Arial Narrow" w:hAnsi="Arial Narrow"/>
          <w:sz w:val="21"/>
          <w:szCs w:val="21"/>
        </w:rPr>
        <w:t xml:space="preserve"> Poistníkovi zo strany Poisteného</w:t>
      </w:r>
      <w:r w:rsidR="005C4CDA" w:rsidRPr="00AB7D76">
        <w:rPr>
          <w:rFonts w:ascii="Arial Narrow" w:hAnsi="Arial Narrow"/>
          <w:sz w:val="21"/>
          <w:szCs w:val="21"/>
        </w:rPr>
        <w:t>.</w:t>
      </w:r>
    </w:p>
    <w:p w:rsidR="002A26B1" w:rsidRPr="00AB7D76" w:rsidRDefault="002A26B1" w:rsidP="005722D4">
      <w:pPr>
        <w:pStyle w:val="Default"/>
        <w:ind w:left="284"/>
        <w:jc w:val="both"/>
        <w:rPr>
          <w:rFonts w:ascii="Arial Narrow" w:hAnsi="Arial Narrow"/>
          <w:b/>
          <w:sz w:val="21"/>
          <w:szCs w:val="21"/>
        </w:rPr>
      </w:pPr>
    </w:p>
    <w:p w:rsidR="00756760" w:rsidRPr="00AB7D76" w:rsidRDefault="00756760" w:rsidP="005722D4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V prípade zániku poistenia podľa bodov i., ii., iv.,a  x. je Poistený povinný informovať priamo Poistníka.</w:t>
      </w:r>
    </w:p>
    <w:p w:rsidR="00756760" w:rsidRPr="00AB7D76" w:rsidRDefault="00756760" w:rsidP="005722D4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b/>
          <w:bCs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 xml:space="preserve">Poistné, poistné obdobie: </w:t>
      </w:r>
    </w:p>
    <w:p w:rsidR="00C57367" w:rsidRPr="00AB7D76" w:rsidRDefault="00C57367" w:rsidP="005722D4">
      <w:pPr>
        <w:pStyle w:val="Default"/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V zmysle článku VII., bodu 2. VPP PPEZ 14 sa dojednáva, že poistné je v zmysle § 796 ods. 1 v platnom znení bežným poistným. Poistným obdobím je 12 mesiacov (poistný rok). </w:t>
      </w:r>
    </w:p>
    <w:p w:rsidR="00C57367" w:rsidRPr="00AB7D76" w:rsidRDefault="00C57367" w:rsidP="005722D4">
      <w:pPr>
        <w:pStyle w:val="Default"/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V zmysle článku VII., bodu 3. a bodu 4. VPP PPEZ 14 sa dojednáva, že poistné bude platené v mesačných splátkach.</w:t>
      </w:r>
    </w:p>
    <w:p w:rsidR="00C57367" w:rsidRPr="00AB7D76" w:rsidRDefault="00C57367" w:rsidP="005722D4">
      <w:pPr>
        <w:pStyle w:val="Default"/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Odchylne od článku VII., bodu 6. VPP PPEZ 14 sa dojednáva, že výška poistného pre príslušné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je určená individuálne, pričom platí, že výška mesačnej splátky poistného pre príslušné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je:</w:t>
      </w:r>
    </w:p>
    <w:p w:rsidR="00C57367" w:rsidRPr="00AB7D76" w:rsidRDefault="00C57367" w:rsidP="005722D4">
      <w:pPr>
        <w:pStyle w:val="Default"/>
        <w:numPr>
          <w:ilvl w:val="0"/>
          <w:numId w:val="14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0,99 € pre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s poistnou sumou do 100 € (vrátane);</w:t>
      </w:r>
    </w:p>
    <w:p w:rsidR="00C57367" w:rsidRPr="00AB7D76" w:rsidRDefault="00C57367" w:rsidP="005722D4">
      <w:pPr>
        <w:pStyle w:val="Default"/>
        <w:numPr>
          <w:ilvl w:val="0"/>
          <w:numId w:val="14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1,49 € pre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s poistnou sumou od 101 € do 250 € (vrátane);</w:t>
      </w:r>
    </w:p>
    <w:p w:rsidR="00C57367" w:rsidRPr="00AB7D76" w:rsidRDefault="00C57367" w:rsidP="005722D4">
      <w:pPr>
        <w:pStyle w:val="Default"/>
        <w:numPr>
          <w:ilvl w:val="0"/>
          <w:numId w:val="14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2,99 € pre </w:t>
      </w:r>
      <w:r w:rsidR="005C7F1E">
        <w:rPr>
          <w:rFonts w:ascii="Arial Narrow" w:hAnsi="Arial Narrow"/>
          <w:sz w:val="21"/>
          <w:szCs w:val="21"/>
        </w:rPr>
        <w:t xml:space="preserve">EZ </w:t>
      </w:r>
      <w:r w:rsidRPr="00AB7D76">
        <w:rPr>
          <w:rFonts w:ascii="Arial Narrow" w:hAnsi="Arial Narrow"/>
          <w:sz w:val="21"/>
          <w:szCs w:val="21"/>
        </w:rPr>
        <w:t>s poistnou sumou od 251 € do 600 € (vrátane);</w:t>
      </w:r>
    </w:p>
    <w:p w:rsidR="00C57367" w:rsidRPr="00AB7D76" w:rsidRDefault="00C57367" w:rsidP="005722D4">
      <w:pPr>
        <w:pStyle w:val="Default"/>
        <w:numPr>
          <w:ilvl w:val="0"/>
          <w:numId w:val="14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4,99 € pre </w:t>
      </w:r>
      <w:r w:rsidR="005C7F1E">
        <w:rPr>
          <w:rFonts w:ascii="Arial Narrow" w:hAnsi="Arial Narrow"/>
          <w:sz w:val="21"/>
          <w:szCs w:val="21"/>
        </w:rPr>
        <w:t xml:space="preserve">EZ </w:t>
      </w:r>
      <w:r w:rsidRPr="00AB7D76">
        <w:rPr>
          <w:rFonts w:ascii="Arial Narrow" w:hAnsi="Arial Narrow"/>
          <w:sz w:val="21"/>
          <w:szCs w:val="21"/>
        </w:rPr>
        <w:t>s poistnou sumou od 601 € do 1000 € (vrátane)</w:t>
      </w:r>
    </w:p>
    <w:p w:rsidR="00C57367" w:rsidRDefault="005C7F1E" w:rsidP="005722D4">
      <w:pPr>
        <w:pStyle w:val="Default"/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V prípade zániku</w:t>
      </w:r>
      <w:r w:rsidR="002A26B1" w:rsidRPr="00AB7D76">
        <w:rPr>
          <w:rFonts w:ascii="Arial Narrow" w:hAnsi="Arial Narrow"/>
          <w:sz w:val="21"/>
          <w:szCs w:val="21"/>
        </w:rPr>
        <w:t xml:space="preserve"> poistenia vo vzťahu ku konkrétnemu </w:t>
      </w:r>
      <w:r>
        <w:rPr>
          <w:rFonts w:ascii="Arial Narrow" w:hAnsi="Arial Narrow"/>
          <w:sz w:val="21"/>
          <w:szCs w:val="21"/>
        </w:rPr>
        <w:t xml:space="preserve">EZ </w:t>
      </w:r>
      <w:r w:rsidR="002A26B1" w:rsidRPr="00AB7D76">
        <w:rPr>
          <w:rFonts w:ascii="Arial Narrow" w:hAnsi="Arial Narrow"/>
          <w:sz w:val="21"/>
          <w:szCs w:val="21"/>
        </w:rPr>
        <w:t xml:space="preserve">z dôvodu poistnej udalosti – totálnej škody vzniká Poisťovateľovi nárok na úhradu čiastkového poistného za toto </w:t>
      </w:r>
      <w:r>
        <w:rPr>
          <w:rFonts w:ascii="Arial Narrow" w:hAnsi="Arial Narrow"/>
          <w:sz w:val="21"/>
          <w:szCs w:val="21"/>
        </w:rPr>
        <w:t>EZ</w:t>
      </w:r>
      <w:r w:rsidR="002A26B1" w:rsidRPr="00AB7D76">
        <w:rPr>
          <w:rFonts w:ascii="Arial Narrow" w:hAnsi="Arial Narrow"/>
          <w:sz w:val="21"/>
          <w:szCs w:val="21"/>
        </w:rPr>
        <w:t xml:space="preserve"> aj za obdobie od vzniku poistnej udalosti do uplynutia 1 roka od začiatku poist</w:t>
      </w:r>
      <w:r>
        <w:rPr>
          <w:rFonts w:ascii="Arial Narrow" w:hAnsi="Arial Narrow"/>
          <w:sz w:val="21"/>
          <w:szCs w:val="21"/>
        </w:rPr>
        <w:t>enia resp. ak poistná udalosť</w:t>
      </w:r>
      <w:r w:rsidR="005722D4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 xml:space="preserve">- </w:t>
      </w:r>
      <w:r w:rsidR="002A26B1" w:rsidRPr="00AB7D76">
        <w:rPr>
          <w:rFonts w:ascii="Arial Narrow" w:hAnsi="Arial Narrow"/>
          <w:sz w:val="21"/>
          <w:szCs w:val="21"/>
        </w:rPr>
        <w:t xml:space="preserve">totálna škoda nastane v druhom roku trvania poistenia, aj za obdobie do konca poistenia vo vzťahu k tomuto </w:t>
      </w:r>
      <w:r>
        <w:rPr>
          <w:rFonts w:ascii="Arial Narrow" w:hAnsi="Arial Narrow"/>
          <w:sz w:val="21"/>
          <w:szCs w:val="21"/>
        </w:rPr>
        <w:t>EZ.</w:t>
      </w:r>
    </w:p>
    <w:p w:rsidR="0003025E" w:rsidRPr="00AB7D76" w:rsidRDefault="0003025E" w:rsidP="005722D4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5722D4" w:rsidRDefault="005722D4" w:rsidP="005722D4">
      <w:pPr>
        <w:pStyle w:val="Default"/>
        <w:jc w:val="both"/>
        <w:rPr>
          <w:rFonts w:ascii="Arial Narrow" w:hAnsi="Arial Narrow"/>
          <w:b/>
          <w:bCs/>
          <w:sz w:val="21"/>
          <w:szCs w:val="21"/>
        </w:rPr>
      </w:pPr>
    </w:p>
    <w:p w:rsidR="005722D4" w:rsidRDefault="005722D4" w:rsidP="005722D4">
      <w:pPr>
        <w:pStyle w:val="Default"/>
        <w:jc w:val="both"/>
        <w:rPr>
          <w:rFonts w:ascii="Arial Narrow" w:hAnsi="Arial Narrow"/>
          <w:b/>
          <w:bCs/>
          <w:sz w:val="21"/>
          <w:szCs w:val="21"/>
        </w:rPr>
      </w:pPr>
    </w:p>
    <w:p w:rsidR="00C57367" w:rsidRPr="00AB7D76" w:rsidRDefault="00C57367" w:rsidP="005722D4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 xml:space="preserve">Plnenie poisťovateľa: </w:t>
      </w:r>
    </w:p>
    <w:p w:rsidR="00C57367" w:rsidRPr="00AB7D76" w:rsidRDefault="00C57367" w:rsidP="005722D4">
      <w:pPr>
        <w:pStyle w:val="Default"/>
        <w:numPr>
          <w:ilvl w:val="0"/>
          <w:numId w:val="15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Odchylne od článku XI., bodu 2. a 5., písm. a) VPP PPEZ 14 sa dojednáva, že v prípade poškodenia poistenej veci poskytne Poisťovateľ plnenie v aktuálnej novej hodnote nahradzovaných dielov za dodržania maximálnych limitov plnenia.</w:t>
      </w:r>
    </w:p>
    <w:p w:rsidR="00C57367" w:rsidRPr="00AB7D76" w:rsidRDefault="00C57367" w:rsidP="005722D4">
      <w:pPr>
        <w:pStyle w:val="Default"/>
        <w:numPr>
          <w:ilvl w:val="0"/>
          <w:numId w:val="15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Odchylne od článku XI., bodu 4. a 5., písm. b) VPP PPEZ 14 sa dojednáva, že v prípade straty podľa článku II. bod 2. VPP PPEZ 14 alebo zničenia poistenej veci poskytne Poisťovateľ plnenie v prvom roku poistenia vo výške 100% alebo v druhom roku poistenia vo výške 70% z poistnej sumy pre príslušné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>.</w:t>
      </w:r>
    </w:p>
    <w:p w:rsidR="00C57367" w:rsidRPr="00AB7D76" w:rsidRDefault="00C57367" w:rsidP="005722D4">
      <w:pPr>
        <w:pStyle w:val="Default"/>
        <w:numPr>
          <w:ilvl w:val="0"/>
          <w:numId w:val="15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V súlade s čl. XI bod 10 VPP PPEZ platí, že súčet poistných plnení za všetky poistné udalosti, ku ktorým dôjde počas doby trvania poistenia vo vzťahu k 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>, môže dosiahnuť maximálne výšku poistnej sumy vzťahujúcej sa na toto EZ. Poistenému teda nevzniká nárok na ďalšie poistné plnenie nad rámec vyčerpanej poistnej sumy k tomuto EZ.</w:t>
      </w:r>
    </w:p>
    <w:p w:rsidR="00C57367" w:rsidRPr="00AB7D76" w:rsidRDefault="00C57367" w:rsidP="005722D4">
      <w:pPr>
        <w:pStyle w:val="Default"/>
        <w:numPr>
          <w:ilvl w:val="0"/>
          <w:numId w:val="15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V prípade poškodenia alebo zničenia poistenej veci je poistený povinný doručiť Poisťovateľovi poškodené/zničené zariadenie na preskúmanie, ak o to Poisťovateľ požiada.</w:t>
      </w:r>
    </w:p>
    <w:p w:rsidR="00C57367" w:rsidRPr="00AB7D76" w:rsidRDefault="00C57367" w:rsidP="005722D4">
      <w:pPr>
        <w:pStyle w:val="Default"/>
        <w:numPr>
          <w:ilvl w:val="0"/>
          <w:numId w:val="15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Od poistného plnenia je Poisťovateľ oprávnený odpočítať dohodnutú spoluúčasť.</w:t>
      </w:r>
    </w:p>
    <w:p w:rsidR="0064001C" w:rsidRPr="005C7F1E" w:rsidRDefault="00C57367" w:rsidP="005722D4">
      <w:pPr>
        <w:pStyle w:val="Default"/>
        <w:numPr>
          <w:ilvl w:val="0"/>
          <w:numId w:val="15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V prípade neuznania práva zo zodpovednosti za vady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Poistníkom, posúdi Poisťovateľ právo na poistné plnenie podľa Poistnej zmluvy a Všeobecných poistných podmienok odo dňa prevzatia neopraveného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Poisteným z dôvodu neuznania záruky a súčasného potvrdenia Dokladu o vybavení reklamácie zo strany Poisteného.</w:t>
      </w:r>
    </w:p>
    <w:sectPr w:rsidR="0064001C" w:rsidRPr="005C7F1E" w:rsidSect="00C23260">
      <w:pgSz w:w="11906" w:h="16838" w:code="9"/>
      <w:pgMar w:top="567" w:right="849" w:bottom="426" w:left="709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AF" w:rsidRDefault="006763AF" w:rsidP="00AF3DE6">
      <w:r>
        <w:separator/>
      </w:r>
    </w:p>
  </w:endnote>
  <w:endnote w:type="continuationSeparator" w:id="0">
    <w:p w:rsidR="006763AF" w:rsidRDefault="006763AF" w:rsidP="00AF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ele-GroteskFet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AF" w:rsidRDefault="006763AF" w:rsidP="00AF3DE6">
      <w:r>
        <w:separator/>
      </w:r>
    </w:p>
  </w:footnote>
  <w:footnote w:type="continuationSeparator" w:id="0">
    <w:p w:rsidR="006763AF" w:rsidRDefault="006763AF" w:rsidP="00AF3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D7" w:rsidRPr="0022277D" w:rsidRDefault="00B7177F" w:rsidP="00C23260">
    <w:pPr>
      <w:pStyle w:val="Obyajntext"/>
      <w:tabs>
        <w:tab w:val="left" w:pos="10206"/>
      </w:tabs>
      <w:suppressAutoHyphens/>
      <w:jc w:val="right"/>
      <w:rPr>
        <w:rFonts w:ascii="Arial" w:hAnsi="Arial" w:cs="Arial"/>
        <w:b/>
        <w:sz w:val="21"/>
        <w:szCs w:val="21"/>
      </w:rPr>
    </w:pPr>
    <w:r w:rsidRPr="00C23260">
      <w:rPr>
        <w:rFonts w:ascii="Arial Narrow" w:hAnsi="Arial Narrow" w:cs="Arial"/>
        <w:sz w:val="21"/>
        <w:szCs w:val="21"/>
      </w:rPr>
      <w:t xml:space="preserve">Príloha č. 4 k Poistnej zmluve skupinového poistenia elektronických zariadení č. </w:t>
    </w:r>
    <w:r w:rsidRPr="00C23260">
      <w:rPr>
        <w:rFonts w:ascii="Arial Narrow" w:hAnsi="Arial Narrow" w:cs="Arial"/>
        <w:bCs/>
        <w:sz w:val="21"/>
        <w:szCs w:val="21"/>
      </w:rPr>
      <w:t>9050588198</w:t>
    </w:r>
  </w:p>
  <w:p w:rsidR="00FB6ED7" w:rsidRPr="00C23260" w:rsidRDefault="00465E6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880"/>
    <w:multiLevelType w:val="hybridMultilevel"/>
    <w:tmpl w:val="9454F6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3F2A"/>
    <w:multiLevelType w:val="hybridMultilevel"/>
    <w:tmpl w:val="64C8C068"/>
    <w:lvl w:ilvl="0" w:tplc="7574564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8" w:hanging="360"/>
      </w:pPr>
    </w:lvl>
    <w:lvl w:ilvl="2" w:tplc="041B001B" w:tentative="1">
      <w:start w:val="1"/>
      <w:numFmt w:val="lowerRoman"/>
      <w:lvlText w:val="%3."/>
      <w:lvlJc w:val="right"/>
      <w:pPr>
        <w:ind w:left="1958" w:hanging="180"/>
      </w:pPr>
    </w:lvl>
    <w:lvl w:ilvl="3" w:tplc="041B000F" w:tentative="1">
      <w:start w:val="1"/>
      <w:numFmt w:val="decimal"/>
      <w:lvlText w:val="%4."/>
      <w:lvlJc w:val="left"/>
      <w:pPr>
        <w:ind w:left="2678" w:hanging="360"/>
      </w:pPr>
    </w:lvl>
    <w:lvl w:ilvl="4" w:tplc="041B0019" w:tentative="1">
      <w:start w:val="1"/>
      <w:numFmt w:val="lowerLetter"/>
      <w:lvlText w:val="%5."/>
      <w:lvlJc w:val="left"/>
      <w:pPr>
        <w:ind w:left="3398" w:hanging="360"/>
      </w:pPr>
    </w:lvl>
    <w:lvl w:ilvl="5" w:tplc="041B001B" w:tentative="1">
      <w:start w:val="1"/>
      <w:numFmt w:val="lowerRoman"/>
      <w:lvlText w:val="%6."/>
      <w:lvlJc w:val="right"/>
      <w:pPr>
        <w:ind w:left="4118" w:hanging="180"/>
      </w:pPr>
    </w:lvl>
    <w:lvl w:ilvl="6" w:tplc="041B000F" w:tentative="1">
      <w:start w:val="1"/>
      <w:numFmt w:val="decimal"/>
      <w:lvlText w:val="%7."/>
      <w:lvlJc w:val="left"/>
      <w:pPr>
        <w:ind w:left="4838" w:hanging="360"/>
      </w:pPr>
    </w:lvl>
    <w:lvl w:ilvl="7" w:tplc="041B0019" w:tentative="1">
      <w:start w:val="1"/>
      <w:numFmt w:val="lowerLetter"/>
      <w:lvlText w:val="%8."/>
      <w:lvlJc w:val="left"/>
      <w:pPr>
        <w:ind w:left="5558" w:hanging="360"/>
      </w:pPr>
    </w:lvl>
    <w:lvl w:ilvl="8" w:tplc="041B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">
    <w:nsid w:val="11C8604D"/>
    <w:multiLevelType w:val="hybridMultilevel"/>
    <w:tmpl w:val="896A3F3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B55B6C"/>
    <w:multiLevelType w:val="hybridMultilevel"/>
    <w:tmpl w:val="01F8CBAE"/>
    <w:lvl w:ilvl="0" w:tplc="041B0013">
      <w:start w:val="1"/>
      <w:numFmt w:val="upperRoman"/>
      <w:lvlText w:val="%1."/>
      <w:lvlJc w:val="right"/>
      <w:pPr>
        <w:ind w:left="833" w:hanging="360"/>
      </w:pPr>
    </w:lvl>
    <w:lvl w:ilvl="1" w:tplc="041B0019" w:tentative="1">
      <w:start w:val="1"/>
      <w:numFmt w:val="lowerLetter"/>
      <w:lvlText w:val="%2."/>
      <w:lvlJc w:val="left"/>
      <w:pPr>
        <w:ind w:left="1553" w:hanging="360"/>
      </w:pPr>
    </w:lvl>
    <w:lvl w:ilvl="2" w:tplc="041B001B" w:tentative="1">
      <w:start w:val="1"/>
      <w:numFmt w:val="lowerRoman"/>
      <w:lvlText w:val="%3."/>
      <w:lvlJc w:val="right"/>
      <w:pPr>
        <w:ind w:left="2273" w:hanging="180"/>
      </w:pPr>
    </w:lvl>
    <w:lvl w:ilvl="3" w:tplc="041B000F" w:tentative="1">
      <w:start w:val="1"/>
      <w:numFmt w:val="decimal"/>
      <w:lvlText w:val="%4."/>
      <w:lvlJc w:val="left"/>
      <w:pPr>
        <w:ind w:left="2993" w:hanging="360"/>
      </w:pPr>
    </w:lvl>
    <w:lvl w:ilvl="4" w:tplc="041B0019" w:tentative="1">
      <w:start w:val="1"/>
      <w:numFmt w:val="lowerLetter"/>
      <w:lvlText w:val="%5."/>
      <w:lvlJc w:val="left"/>
      <w:pPr>
        <w:ind w:left="3713" w:hanging="360"/>
      </w:pPr>
    </w:lvl>
    <w:lvl w:ilvl="5" w:tplc="041B001B" w:tentative="1">
      <w:start w:val="1"/>
      <w:numFmt w:val="lowerRoman"/>
      <w:lvlText w:val="%6."/>
      <w:lvlJc w:val="right"/>
      <w:pPr>
        <w:ind w:left="4433" w:hanging="180"/>
      </w:pPr>
    </w:lvl>
    <w:lvl w:ilvl="6" w:tplc="041B000F" w:tentative="1">
      <w:start w:val="1"/>
      <w:numFmt w:val="decimal"/>
      <w:lvlText w:val="%7."/>
      <w:lvlJc w:val="left"/>
      <w:pPr>
        <w:ind w:left="5153" w:hanging="360"/>
      </w:pPr>
    </w:lvl>
    <w:lvl w:ilvl="7" w:tplc="041B0019" w:tentative="1">
      <w:start w:val="1"/>
      <w:numFmt w:val="lowerLetter"/>
      <w:lvlText w:val="%8."/>
      <w:lvlJc w:val="left"/>
      <w:pPr>
        <w:ind w:left="5873" w:hanging="360"/>
      </w:pPr>
    </w:lvl>
    <w:lvl w:ilvl="8" w:tplc="041B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C7565E0"/>
    <w:multiLevelType w:val="multilevel"/>
    <w:tmpl w:val="B7E8C77C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D6605E6"/>
    <w:multiLevelType w:val="hybridMultilevel"/>
    <w:tmpl w:val="6EB6BA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B79FF"/>
    <w:multiLevelType w:val="hybridMultilevel"/>
    <w:tmpl w:val="20666D4A"/>
    <w:lvl w:ilvl="0" w:tplc="2DCAF67E">
      <w:start w:val="1"/>
      <w:numFmt w:val="lowerRoman"/>
      <w:lvlText w:val="(%1)"/>
      <w:lvlJc w:val="left"/>
      <w:pPr>
        <w:ind w:left="1193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53" w:hanging="360"/>
      </w:pPr>
    </w:lvl>
    <w:lvl w:ilvl="2" w:tplc="041B001B" w:tentative="1">
      <w:start w:val="1"/>
      <w:numFmt w:val="lowerRoman"/>
      <w:lvlText w:val="%3."/>
      <w:lvlJc w:val="right"/>
      <w:pPr>
        <w:ind w:left="2273" w:hanging="180"/>
      </w:pPr>
    </w:lvl>
    <w:lvl w:ilvl="3" w:tplc="041B000F" w:tentative="1">
      <w:start w:val="1"/>
      <w:numFmt w:val="decimal"/>
      <w:lvlText w:val="%4."/>
      <w:lvlJc w:val="left"/>
      <w:pPr>
        <w:ind w:left="2993" w:hanging="360"/>
      </w:pPr>
    </w:lvl>
    <w:lvl w:ilvl="4" w:tplc="041B0019" w:tentative="1">
      <w:start w:val="1"/>
      <w:numFmt w:val="lowerLetter"/>
      <w:lvlText w:val="%5."/>
      <w:lvlJc w:val="left"/>
      <w:pPr>
        <w:ind w:left="3713" w:hanging="360"/>
      </w:pPr>
    </w:lvl>
    <w:lvl w:ilvl="5" w:tplc="041B001B" w:tentative="1">
      <w:start w:val="1"/>
      <w:numFmt w:val="lowerRoman"/>
      <w:lvlText w:val="%6."/>
      <w:lvlJc w:val="right"/>
      <w:pPr>
        <w:ind w:left="4433" w:hanging="180"/>
      </w:pPr>
    </w:lvl>
    <w:lvl w:ilvl="6" w:tplc="041B000F" w:tentative="1">
      <w:start w:val="1"/>
      <w:numFmt w:val="decimal"/>
      <w:lvlText w:val="%7."/>
      <w:lvlJc w:val="left"/>
      <w:pPr>
        <w:ind w:left="5153" w:hanging="360"/>
      </w:pPr>
    </w:lvl>
    <w:lvl w:ilvl="7" w:tplc="041B0019" w:tentative="1">
      <w:start w:val="1"/>
      <w:numFmt w:val="lowerLetter"/>
      <w:lvlText w:val="%8."/>
      <w:lvlJc w:val="left"/>
      <w:pPr>
        <w:ind w:left="5873" w:hanging="360"/>
      </w:pPr>
    </w:lvl>
    <w:lvl w:ilvl="8" w:tplc="041B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27257301"/>
    <w:multiLevelType w:val="hybridMultilevel"/>
    <w:tmpl w:val="8D4E75A6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305530"/>
    <w:multiLevelType w:val="hybridMultilevel"/>
    <w:tmpl w:val="E1B4574A"/>
    <w:lvl w:ilvl="0" w:tplc="2092DC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557066"/>
    <w:multiLevelType w:val="hybridMultilevel"/>
    <w:tmpl w:val="D958AFD0"/>
    <w:lvl w:ilvl="0" w:tplc="DC66B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A6BFF"/>
    <w:multiLevelType w:val="hybridMultilevel"/>
    <w:tmpl w:val="A5D45A5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4195E32"/>
    <w:multiLevelType w:val="hybridMultilevel"/>
    <w:tmpl w:val="719AA680"/>
    <w:lvl w:ilvl="0" w:tplc="04FEE7C0">
      <w:start w:val="1"/>
      <w:numFmt w:val="decimal"/>
      <w:lvlText w:val="%1."/>
      <w:lvlJc w:val="left"/>
      <w:pPr>
        <w:ind w:left="473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34C80DF7"/>
    <w:multiLevelType w:val="hybridMultilevel"/>
    <w:tmpl w:val="8D94D99A"/>
    <w:lvl w:ilvl="0" w:tplc="09C643B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384B5EC9"/>
    <w:multiLevelType w:val="hybridMultilevel"/>
    <w:tmpl w:val="36585B06"/>
    <w:lvl w:ilvl="0" w:tplc="041B0013">
      <w:start w:val="1"/>
      <w:numFmt w:val="upperRoman"/>
      <w:lvlText w:val="%1."/>
      <w:lvlJc w:val="righ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A7B468C"/>
    <w:multiLevelType w:val="hybridMultilevel"/>
    <w:tmpl w:val="60E0E6D2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A257A"/>
    <w:multiLevelType w:val="hybridMultilevel"/>
    <w:tmpl w:val="F1F61CBA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812C75"/>
    <w:multiLevelType w:val="hybridMultilevel"/>
    <w:tmpl w:val="E208EDFE"/>
    <w:lvl w:ilvl="0" w:tplc="DDC4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C668B"/>
    <w:multiLevelType w:val="multilevel"/>
    <w:tmpl w:val="60E0E6D2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4303F4"/>
    <w:multiLevelType w:val="hybridMultilevel"/>
    <w:tmpl w:val="64C8C068"/>
    <w:lvl w:ilvl="0" w:tplc="7574564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8" w:hanging="360"/>
      </w:pPr>
    </w:lvl>
    <w:lvl w:ilvl="2" w:tplc="041B001B" w:tentative="1">
      <w:start w:val="1"/>
      <w:numFmt w:val="lowerRoman"/>
      <w:lvlText w:val="%3."/>
      <w:lvlJc w:val="right"/>
      <w:pPr>
        <w:ind w:left="1958" w:hanging="180"/>
      </w:pPr>
    </w:lvl>
    <w:lvl w:ilvl="3" w:tplc="041B000F" w:tentative="1">
      <w:start w:val="1"/>
      <w:numFmt w:val="decimal"/>
      <w:lvlText w:val="%4."/>
      <w:lvlJc w:val="left"/>
      <w:pPr>
        <w:ind w:left="2678" w:hanging="360"/>
      </w:pPr>
    </w:lvl>
    <w:lvl w:ilvl="4" w:tplc="041B0019" w:tentative="1">
      <w:start w:val="1"/>
      <w:numFmt w:val="lowerLetter"/>
      <w:lvlText w:val="%5."/>
      <w:lvlJc w:val="left"/>
      <w:pPr>
        <w:ind w:left="3398" w:hanging="360"/>
      </w:pPr>
    </w:lvl>
    <w:lvl w:ilvl="5" w:tplc="041B001B" w:tentative="1">
      <w:start w:val="1"/>
      <w:numFmt w:val="lowerRoman"/>
      <w:lvlText w:val="%6."/>
      <w:lvlJc w:val="right"/>
      <w:pPr>
        <w:ind w:left="4118" w:hanging="180"/>
      </w:pPr>
    </w:lvl>
    <w:lvl w:ilvl="6" w:tplc="041B000F" w:tentative="1">
      <w:start w:val="1"/>
      <w:numFmt w:val="decimal"/>
      <w:lvlText w:val="%7."/>
      <w:lvlJc w:val="left"/>
      <w:pPr>
        <w:ind w:left="4838" w:hanging="360"/>
      </w:pPr>
    </w:lvl>
    <w:lvl w:ilvl="7" w:tplc="041B0019" w:tentative="1">
      <w:start w:val="1"/>
      <w:numFmt w:val="lowerLetter"/>
      <w:lvlText w:val="%8."/>
      <w:lvlJc w:val="left"/>
      <w:pPr>
        <w:ind w:left="5558" w:hanging="360"/>
      </w:pPr>
    </w:lvl>
    <w:lvl w:ilvl="8" w:tplc="041B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9">
    <w:nsid w:val="4BD15C8D"/>
    <w:multiLevelType w:val="multilevel"/>
    <w:tmpl w:val="D21CFF8E"/>
    <w:numStyleLink w:val="Vcerovov"/>
  </w:abstractNum>
  <w:abstractNum w:abstractNumId="20">
    <w:nsid w:val="4D630EF2"/>
    <w:multiLevelType w:val="hybridMultilevel"/>
    <w:tmpl w:val="26E68996"/>
    <w:lvl w:ilvl="0" w:tplc="041B001B">
      <w:start w:val="1"/>
      <w:numFmt w:val="lowerRoman"/>
      <w:lvlText w:val="%1."/>
      <w:lvlJc w:val="right"/>
      <w:pPr>
        <w:ind w:left="930" w:hanging="360"/>
      </w:pPr>
    </w:lvl>
    <w:lvl w:ilvl="1" w:tplc="041B0019" w:tentative="1">
      <w:start w:val="1"/>
      <w:numFmt w:val="lowerLetter"/>
      <w:lvlText w:val="%2."/>
      <w:lvlJc w:val="left"/>
      <w:pPr>
        <w:ind w:left="1650" w:hanging="360"/>
      </w:pPr>
    </w:lvl>
    <w:lvl w:ilvl="2" w:tplc="041B001B" w:tentative="1">
      <w:start w:val="1"/>
      <w:numFmt w:val="lowerRoman"/>
      <w:lvlText w:val="%3."/>
      <w:lvlJc w:val="right"/>
      <w:pPr>
        <w:ind w:left="2370" w:hanging="180"/>
      </w:pPr>
    </w:lvl>
    <w:lvl w:ilvl="3" w:tplc="041B000F" w:tentative="1">
      <w:start w:val="1"/>
      <w:numFmt w:val="decimal"/>
      <w:lvlText w:val="%4."/>
      <w:lvlJc w:val="left"/>
      <w:pPr>
        <w:ind w:left="3090" w:hanging="360"/>
      </w:pPr>
    </w:lvl>
    <w:lvl w:ilvl="4" w:tplc="041B0019" w:tentative="1">
      <w:start w:val="1"/>
      <w:numFmt w:val="lowerLetter"/>
      <w:lvlText w:val="%5."/>
      <w:lvlJc w:val="left"/>
      <w:pPr>
        <w:ind w:left="3810" w:hanging="360"/>
      </w:pPr>
    </w:lvl>
    <w:lvl w:ilvl="5" w:tplc="041B001B" w:tentative="1">
      <w:start w:val="1"/>
      <w:numFmt w:val="lowerRoman"/>
      <w:lvlText w:val="%6."/>
      <w:lvlJc w:val="right"/>
      <w:pPr>
        <w:ind w:left="4530" w:hanging="180"/>
      </w:pPr>
    </w:lvl>
    <w:lvl w:ilvl="6" w:tplc="041B000F" w:tentative="1">
      <w:start w:val="1"/>
      <w:numFmt w:val="decimal"/>
      <w:lvlText w:val="%7."/>
      <w:lvlJc w:val="left"/>
      <w:pPr>
        <w:ind w:left="5250" w:hanging="360"/>
      </w:pPr>
    </w:lvl>
    <w:lvl w:ilvl="7" w:tplc="041B0019" w:tentative="1">
      <w:start w:val="1"/>
      <w:numFmt w:val="lowerLetter"/>
      <w:lvlText w:val="%8."/>
      <w:lvlJc w:val="left"/>
      <w:pPr>
        <w:ind w:left="5970" w:hanging="360"/>
      </w:pPr>
    </w:lvl>
    <w:lvl w:ilvl="8" w:tplc="041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51754EBA"/>
    <w:multiLevelType w:val="hybridMultilevel"/>
    <w:tmpl w:val="D8D4B9C2"/>
    <w:lvl w:ilvl="0" w:tplc="041B001B">
      <w:start w:val="1"/>
      <w:numFmt w:val="lowerRoman"/>
      <w:lvlText w:val="%1."/>
      <w:lvlJc w:val="righ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45803E3"/>
    <w:multiLevelType w:val="multilevel"/>
    <w:tmpl w:val="D21CFF8E"/>
    <w:styleLink w:val="Vcerovov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/>
      </w:rPr>
    </w:lvl>
    <w:lvl w:ilvl="1">
      <w:start w:val="1"/>
      <w:numFmt w:val="bullet"/>
      <w:lvlText w:val="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</w:rPr>
    </w:lvl>
    <w:lvl w:ilvl="2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3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</w:rPr>
    </w:lvl>
    <w:lvl w:ilvl="4">
      <w:start w:val="1"/>
      <w:numFmt w:val="bullet"/>
      <w:lvlText w:val=""/>
      <w:lvlJc w:val="left"/>
      <w:pPr>
        <w:tabs>
          <w:tab w:val="num" w:pos="1418"/>
        </w:tabs>
        <w:ind w:left="1418" w:hanging="284"/>
      </w:pPr>
      <w:rPr>
        <w:rFonts w:ascii="Wingdings 2" w:hAnsi="Wingdings 2" w:hint="default"/>
      </w:rPr>
    </w:lvl>
    <w:lvl w:ilvl="5">
      <w:start w:val="1"/>
      <w:numFmt w:val="bullet"/>
      <w:lvlText w:val=""/>
      <w:lvlJc w:val="left"/>
      <w:pPr>
        <w:tabs>
          <w:tab w:val="num" w:pos="1701"/>
        </w:tabs>
        <w:ind w:left="1701" w:hanging="283"/>
      </w:pPr>
      <w:rPr>
        <w:rFonts w:ascii="Wingdings 2" w:hAnsi="Wingdings 2" w:hint="default"/>
      </w:rPr>
    </w:lvl>
    <w:lvl w:ilvl="6">
      <w:start w:val="1"/>
      <w:numFmt w:val="bullet"/>
      <w:lvlText w:val="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</w:rPr>
    </w:lvl>
    <w:lvl w:ilvl="7">
      <w:start w:val="1"/>
      <w:numFmt w:val="bullet"/>
      <w:lvlText w:val=""/>
      <w:lvlJc w:val="left"/>
      <w:pPr>
        <w:tabs>
          <w:tab w:val="num" w:pos="2268"/>
        </w:tabs>
        <w:ind w:left="2268" w:hanging="283"/>
      </w:pPr>
      <w:rPr>
        <w:rFonts w:ascii="Wingdings 2" w:hAnsi="Wingdings 2" w:hint="default"/>
      </w:rPr>
    </w:lvl>
    <w:lvl w:ilvl="8">
      <w:start w:val="1"/>
      <w:numFmt w:val="bullet"/>
      <w:lvlText w:val="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</w:rPr>
    </w:lvl>
  </w:abstractNum>
  <w:abstractNum w:abstractNumId="23">
    <w:nsid w:val="59881031"/>
    <w:multiLevelType w:val="hybridMultilevel"/>
    <w:tmpl w:val="244834B0"/>
    <w:lvl w:ilvl="0" w:tplc="9BF475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31254"/>
    <w:multiLevelType w:val="hybridMultilevel"/>
    <w:tmpl w:val="B156BE3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196F8F"/>
    <w:multiLevelType w:val="hybridMultilevel"/>
    <w:tmpl w:val="E1B4574A"/>
    <w:lvl w:ilvl="0" w:tplc="2092DC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B50C79"/>
    <w:multiLevelType w:val="hybridMultilevel"/>
    <w:tmpl w:val="CFC435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85B97"/>
    <w:multiLevelType w:val="hybridMultilevel"/>
    <w:tmpl w:val="E1B4574A"/>
    <w:lvl w:ilvl="0" w:tplc="2092DC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71000B"/>
    <w:multiLevelType w:val="hybridMultilevel"/>
    <w:tmpl w:val="C48E2A7E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146FFA"/>
    <w:multiLevelType w:val="hybridMultilevel"/>
    <w:tmpl w:val="6EB6BA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8"/>
  </w:num>
  <w:num w:numId="4">
    <w:abstractNumId w:val="14"/>
  </w:num>
  <w:num w:numId="5">
    <w:abstractNumId w:val="17"/>
  </w:num>
  <w:num w:numId="6">
    <w:abstractNumId w:val="4"/>
  </w:num>
  <w:num w:numId="7">
    <w:abstractNumId w:val="19"/>
  </w:num>
  <w:num w:numId="8">
    <w:abstractNumId w:val="22"/>
  </w:num>
  <w:num w:numId="9">
    <w:abstractNumId w:val="24"/>
  </w:num>
  <w:num w:numId="10">
    <w:abstractNumId w:val="2"/>
  </w:num>
  <w:num w:numId="11">
    <w:abstractNumId w:val="26"/>
  </w:num>
  <w:num w:numId="12">
    <w:abstractNumId w:val="23"/>
  </w:num>
  <w:num w:numId="13">
    <w:abstractNumId w:val="29"/>
  </w:num>
  <w:num w:numId="14">
    <w:abstractNumId w:val="10"/>
  </w:num>
  <w:num w:numId="15">
    <w:abstractNumId w:val="5"/>
  </w:num>
  <w:num w:numId="16">
    <w:abstractNumId w:val="16"/>
  </w:num>
  <w:num w:numId="17">
    <w:abstractNumId w:val="12"/>
  </w:num>
  <w:num w:numId="18">
    <w:abstractNumId w:val="11"/>
  </w:num>
  <w:num w:numId="19">
    <w:abstractNumId w:val="6"/>
  </w:num>
  <w:num w:numId="20">
    <w:abstractNumId w:val="3"/>
  </w:num>
  <w:num w:numId="21">
    <w:abstractNumId w:val="18"/>
  </w:num>
  <w:num w:numId="22">
    <w:abstractNumId w:val="9"/>
  </w:num>
  <w:num w:numId="23">
    <w:abstractNumId w:val="27"/>
  </w:num>
  <w:num w:numId="24">
    <w:abstractNumId w:val="8"/>
  </w:num>
  <w:num w:numId="25">
    <w:abstractNumId w:val="1"/>
  </w:num>
  <w:num w:numId="26">
    <w:abstractNumId w:val="0"/>
  </w:num>
  <w:num w:numId="27">
    <w:abstractNumId w:val="13"/>
  </w:num>
  <w:num w:numId="28">
    <w:abstractNumId w:val="21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67"/>
    <w:rsid w:val="00012988"/>
    <w:rsid w:val="0003025E"/>
    <w:rsid w:val="00046EB7"/>
    <w:rsid w:val="00050B73"/>
    <w:rsid w:val="00095EB0"/>
    <w:rsid w:val="00096E5F"/>
    <w:rsid w:val="000A47A2"/>
    <w:rsid w:val="000D0278"/>
    <w:rsid w:val="000E0E15"/>
    <w:rsid w:val="000F438E"/>
    <w:rsid w:val="000F49F4"/>
    <w:rsid w:val="000F5CE7"/>
    <w:rsid w:val="0010699C"/>
    <w:rsid w:val="00130B81"/>
    <w:rsid w:val="00145070"/>
    <w:rsid w:val="00175257"/>
    <w:rsid w:val="001E7D9C"/>
    <w:rsid w:val="001F1670"/>
    <w:rsid w:val="0024541F"/>
    <w:rsid w:val="002830AF"/>
    <w:rsid w:val="002A26B1"/>
    <w:rsid w:val="002A5CE0"/>
    <w:rsid w:val="002C5118"/>
    <w:rsid w:val="002D1ADF"/>
    <w:rsid w:val="002E1018"/>
    <w:rsid w:val="002F4B44"/>
    <w:rsid w:val="003303C3"/>
    <w:rsid w:val="00341A65"/>
    <w:rsid w:val="00350CE3"/>
    <w:rsid w:val="003776CD"/>
    <w:rsid w:val="0038763A"/>
    <w:rsid w:val="00391AB1"/>
    <w:rsid w:val="00396D4E"/>
    <w:rsid w:val="003B2632"/>
    <w:rsid w:val="00406457"/>
    <w:rsid w:val="00411881"/>
    <w:rsid w:val="0042274F"/>
    <w:rsid w:val="004311DA"/>
    <w:rsid w:val="00442ED2"/>
    <w:rsid w:val="0044434C"/>
    <w:rsid w:val="00450FC9"/>
    <w:rsid w:val="00461386"/>
    <w:rsid w:val="00465E6B"/>
    <w:rsid w:val="004923ED"/>
    <w:rsid w:val="004B184D"/>
    <w:rsid w:val="004C3AE0"/>
    <w:rsid w:val="004D33CE"/>
    <w:rsid w:val="004E3A24"/>
    <w:rsid w:val="004F1BDC"/>
    <w:rsid w:val="0050343F"/>
    <w:rsid w:val="00564D69"/>
    <w:rsid w:val="005722D4"/>
    <w:rsid w:val="005C4CDA"/>
    <w:rsid w:val="005C5197"/>
    <w:rsid w:val="005C7F1E"/>
    <w:rsid w:val="005F1EAF"/>
    <w:rsid w:val="00601944"/>
    <w:rsid w:val="00614CD0"/>
    <w:rsid w:val="00616B15"/>
    <w:rsid w:val="0064001C"/>
    <w:rsid w:val="00645A11"/>
    <w:rsid w:val="006671FC"/>
    <w:rsid w:val="006763AF"/>
    <w:rsid w:val="0068068A"/>
    <w:rsid w:val="006811CE"/>
    <w:rsid w:val="006924B5"/>
    <w:rsid w:val="00692978"/>
    <w:rsid w:val="00696134"/>
    <w:rsid w:val="006C2C91"/>
    <w:rsid w:val="006E2E05"/>
    <w:rsid w:val="00700AF9"/>
    <w:rsid w:val="007026CE"/>
    <w:rsid w:val="00702C78"/>
    <w:rsid w:val="0071246B"/>
    <w:rsid w:val="00713E8D"/>
    <w:rsid w:val="00742CB0"/>
    <w:rsid w:val="00756760"/>
    <w:rsid w:val="007703AB"/>
    <w:rsid w:val="007826D2"/>
    <w:rsid w:val="00795E09"/>
    <w:rsid w:val="007A3758"/>
    <w:rsid w:val="007D3C17"/>
    <w:rsid w:val="007F7662"/>
    <w:rsid w:val="00811632"/>
    <w:rsid w:val="00855765"/>
    <w:rsid w:val="00866947"/>
    <w:rsid w:val="00890127"/>
    <w:rsid w:val="008921EC"/>
    <w:rsid w:val="008A28C4"/>
    <w:rsid w:val="008D34AC"/>
    <w:rsid w:val="008D69B4"/>
    <w:rsid w:val="008F3A8A"/>
    <w:rsid w:val="00901ACF"/>
    <w:rsid w:val="0090718F"/>
    <w:rsid w:val="00907F12"/>
    <w:rsid w:val="009154E2"/>
    <w:rsid w:val="00922C6A"/>
    <w:rsid w:val="00945772"/>
    <w:rsid w:val="00955DE5"/>
    <w:rsid w:val="0096383B"/>
    <w:rsid w:val="00963AF3"/>
    <w:rsid w:val="00976E5B"/>
    <w:rsid w:val="00983874"/>
    <w:rsid w:val="009842FF"/>
    <w:rsid w:val="00985F92"/>
    <w:rsid w:val="00997794"/>
    <w:rsid w:val="009C5E15"/>
    <w:rsid w:val="009C77FF"/>
    <w:rsid w:val="00A02F05"/>
    <w:rsid w:val="00A56258"/>
    <w:rsid w:val="00AB7D76"/>
    <w:rsid w:val="00AC5F73"/>
    <w:rsid w:val="00AD08B5"/>
    <w:rsid w:val="00AD25C4"/>
    <w:rsid w:val="00AF3DE6"/>
    <w:rsid w:val="00B415EE"/>
    <w:rsid w:val="00B7177F"/>
    <w:rsid w:val="00B96141"/>
    <w:rsid w:val="00C10499"/>
    <w:rsid w:val="00C11D1C"/>
    <w:rsid w:val="00C32006"/>
    <w:rsid w:val="00C3258B"/>
    <w:rsid w:val="00C439C8"/>
    <w:rsid w:val="00C57367"/>
    <w:rsid w:val="00C751B0"/>
    <w:rsid w:val="00C85576"/>
    <w:rsid w:val="00C94FDF"/>
    <w:rsid w:val="00CA5E18"/>
    <w:rsid w:val="00CA6143"/>
    <w:rsid w:val="00CD629B"/>
    <w:rsid w:val="00D06363"/>
    <w:rsid w:val="00D4316D"/>
    <w:rsid w:val="00D505E7"/>
    <w:rsid w:val="00D54BE2"/>
    <w:rsid w:val="00DD3763"/>
    <w:rsid w:val="00DD43BD"/>
    <w:rsid w:val="00DF3140"/>
    <w:rsid w:val="00E02AA8"/>
    <w:rsid w:val="00E40A5C"/>
    <w:rsid w:val="00E435DA"/>
    <w:rsid w:val="00E53674"/>
    <w:rsid w:val="00E6522A"/>
    <w:rsid w:val="00EA127E"/>
    <w:rsid w:val="00EA179C"/>
    <w:rsid w:val="00ED7849"/>
    <w:rsid w:val="00EE7BA0"/>
    <w:rsid w:val="00F02EF2"/>
    <w:rsid w:val="00F1677F"/>
    <w:rsid w:val="00F22EF2"/>
    <w:rsid w:val="00F77786"/>
    <w:rsid w:val="00FC5759"/>
    <w:rsid w:val="00FC6FAC"/>
    <w:rsid w:val="00FD0A06"/>
    <w:rsid w:val="00FD2E03"/>
    <w:rsid w:val="00FD6A54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367"/>
    <w:rPr>
      <w:lang w:eastAsia="de-AT"/>
    </w:rPr>
  </w:style>
  <w:style w:type="paragraph" w:styleId="Nadpis1">
    <w:name w:val="heading 1"/>
    <w:basedOn w:val="Normlny"/>
    <w:next w:val="Normlny"/>
    <w:qFormat/>
    <w:rsid w:val="00FD0A06"/>
    <w:pPr>
      <w:keepNext/>
      <w:spacing w:before="240" w:after="60"/>
      <w:outlineLvl w:val="0"/>
    </w:pPr>
    <w:rPr>
      <w:rFonts w:ascii="Tele-GroteskFet" w:hAnsi="Tele-GroteskFet" w:cs="Arial"/>
      <w:bCs/>
      <w:kern w:val="32"/>
      <w:sz w:val="40"/>
      <w:szCs w:val="32"/>
    </w:rPr>
  </w:style>
  <w:style w:type="paragraph" w:styleId="Nadpis2">
    <w:name w:val="heading 2"/>
    <w:basedOn w:val="Normlny"/>
    <w:next w:val="Normlny"/>
    <w:qFormat/>
    <w:rsid w:val="00FD0A06"/>
    <w:pPr>
      <w:keepNext/>
      <w:spacing w:before="240" w:after="60"/>
      <w:outlineLvl w:val="1"/>
    </w:pPr>
    <w:rPr>
      <w:rFonts w:ascii="Tele-GroteskFet" w:hAnsi="Tele-GroteskFet" w:cs="Arial"/>
      <w:bCs/>
      <w:iCs/>
      <w:sz w:val="32"/>
      <w:szCs w:val="28"/>
    </w:rPr>
  </w:style>
  <w:style w:type="paragraph" w:styleId="Nadpis3">
    <w:name w:val="heading 3"/>
    <w:basedOn w:val="Normlny"/>
    <w:next w:val="Normlny"/>
    <w:qFormat/>
    <w:rsid w:val="00FD0A06"/>
    <w:pPr>
      <w:keepNext/>
      <w:spacing w:before="240" w:after="60"/>
      <w:outlineLvl w:val="2"/>
    </w:pPr>
    <w:rPr>
      <w:rFonts w:ascii="Tele-GroteskFet" w:hAnsi="Tele-GroteskFet" w:cs="Arial"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Vcerovov">
    <w:name w:val="Víceúrovňové"/>
    <w:basedOn w:val="Bezzoznamu"/>
    <w:rsid w:val="001F1670"/>
    <w:pPr>
      <w:numPr>
        <w:numId w:val="8"/>
      </w:numPr>
    </w:pPr>
  </w:style>
  <w:style w:type="paragraph" w:styleId="Bezriadkovania">
    <w:name w:val="No Spacing"/>
    <w:uiPriority w:val="1"/>
    <w:qFormat/>
    <w:rsid w:val="00FD0A06"/>
    <w:rPr>
      <w:rFonts w:ascii="Tele-GroteskNor" w:hAnsi="Tele-GroteskNor"/>
      <w:szCs w:val="24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D0A06"/>
    <w:pPr>
      <w:numPr>
        <w:ilvl w:val="1"/>
      </w:numPr>
    </w:pPr>
    <w:rPr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FD0A06"/>
    <w:rPr>
      <w:rFonts w:ascii="Tele-GroteskNor" w:eastAsia="Times New Roman" w:hAnsi="Tele-GroteskNor" w:cs="Times New Roman"/>
      <w:i/>
      <w:iCs/>
      <w:color w:val="4F81BD"/>
      <w:spacing w:val="15"/>
      <w:sz w:val="24"/>
      <w:szCs w:val="24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FD0A06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D0A06"/>
    <w:rPr>
      <w:rFonts w:ascii="Tele-GroteskNor" w:eastAsia="Times New Roman" w:hAnsi="Tele-GroteskNor" w:cs="Times New Roman"/>
      <w:color w:val="17365D"/>
      <w:spacing w:val="5"/>
      <w:kern w:val="28"/>
      <w:sz w:val="52"/>
      <w:szCs w:val="52"/>
      <w:lang w:eastAsia="en-US"/>
    </w:rPr>
  </w:style>
  <w:style w:type="paragraph" w:styleId="Hlavika">
    <w:name w:val="header"/>
    <w:basedOn w:val="Normlny"/>
    <w:link w:val="HlavikaChar"/>
    <w:rsid w:val="00C573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57367"/>
    <w:rPr>
      <w:lang w:eastAsia="de-AT"/>
    </w:rPr>
  </w:style>
  <w:style w:type="paragraph" w:styleId="Obyajntext">
    <w:name w:val="Plain Text"/>
    <w:basedOn w:val="Normlny"/>
    <w:link w:val="ObyajntextChar"/>
    <w:rsid w:val="00C57367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rsid w:val="00C57367"/>
    <w:rPr>
      <w:rFonts w:ascii="Courier New" w:hAnsi="Courier New"/>
      <w:lang w:eastAsia="de-AT"/>
    </w:rPr>
  </w:style>
  <w:style w:type="character" w:styleId="Odkaznakomentr">
    <w:name w:val="annotation reference"/>
    <w:semiHidden/>
    <w:rsid w:val="00C573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57367"/>
  </w:style>
  <w:style w:type="character" w:customStyle="1" w:styleId="TextkomentraChar">
    <w:name w:val="Text komentára Char"/>
    <w:basedOn w:val="Predvolenpsmoodseku"/>
    <w:link w:val="Textkomentra"/>
    <w:uiPriority w:val="99"/>
    <w:rsid w:val="00C57367"/>
    <w:rPr>
      <w:lang w:eastAsia="de-AT"/>
    </w:rPr>
  </w:style>
  <w:style w:type="paragraph" w:customStyle="1" w:styleId="Default">
    <w:name w:val="Default"/>
    <w:rsid w:val="00C57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5736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73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7367"/>
    <w:rPr>
      <w:rFonts w:ascii="Tahoma" w:hAnsi="Tahoma" w:cs="Tahoma"/>
      <w:sz w:val="16"/>
      <w:szCs w:val="16"/>
      <w:lang w:eastAsia="de-AT"/>
    </w:rPr>
  </w:style>
  <w:style w:type="paragraph" w:styleId="Zkladntext2">
    <w:name w:val="Body Text 2"/>
    <w:basedOn w:val="Normlny"/>
    <w:link w:val="Zkladntext2Char"/>
    <w:semiHidden/>
    <w:rsid w:val="00997794"/>
    <w:pPr>
      <w:spacing w:line="360" w:lineRule="auto"/>
      <w:ind w:left="470" w:right="-1" w:hanging="357"/>
      <w:jc w:val="both"/>
    </w:pPr>
    <w:rPr>
      <w:rFonts w:ascii="Arial" w:hAnsi="Arial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997794"/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7826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26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26D2"/>
    <w:rPr>
      <w:b/>
      <w:bCs/>
      <w:lang w:eastAsia="de-AT"/>
    </w:rPr>
  </w:style>
  <w:style w:type="paragraph" w:customStyle="1" w:styleId="lnokzmluvy">
    <w:name w:val="Článok zmluvy"/>
    <w:rsid w:val="005C5197"/>
    <w:pPr>
      <w:jc w:val="both"/>
    </w:pPr>
    <w:rPr>
      <w:lang w:eastAsia="en-US"/>
    </w:rPr>
  </w:style>
  <w:style w:type="paragraph" w:styleId="Revzia">
    <w:name w:val="Revision"/>
    <w:hidden/>
    <w:uiPriority w:val="99"/>
    <w:semiHidden/>
    <w:rsid w:val="007D3C17"/>
    <w:rPr>
      <w:lang w:eastAsia="de-AT"/>
    </w:rPr>
  </w:style>
  <w:style w:type="paragraph" w:styleId="Pta">
    <w:name w:val="footer"/>
    <w:basedOn w:val="Normlny"/>
    <w:link w:val="PtaChar"/>
    <w:uiPriority w:val="99"/>
    <w:unhideWhenUsed/>
    <w:rsid w:val="002454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541F"/>
    <w:rPr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367"/>
    <w:rPr>
      <w:lang w:eastAsia="de-AT"/>
    </w:rPr>
  </w:style>
  <w:style w:type="paragraph" w:styleId="Nadpis1">
    <w:name w:val="heading 1"/>
    <w:basedOn w:val="Normlny"/>
    <w:next w:val="Normlny"/>
    <w:qFormat/>
    <w:rsid w:val="00FD0A06"/>
    <w:pPr>
      <w:keepNext/>
      <w:spacing w:before="240" w:after="60"/>
      <w:outlineLvl w:val="0"/>
    </w:pPr>
    <w:rPr>
      <w:rFonts w:ascii="Tele-GroteskFet" w:hAnsi="Tele-GroteskFet" w:cs="Arial"/>
      <w:bCs/>
      <w:kern w:val="32"/>
      <w:sz w:val="40"/>
      <w:szCs w:val="32"/>
    </w:rPr>
  </w:style>
  <w:style w:type="paragraph" w:styleId="Nadpis2">
    <w:name w:val="heading 2"/>
    <w:basedOn w:val="Normlny"/>
    <w:next w:val="Normlny"/>
    <w:qFormat/>
    <w:rsid w:val="00FD0A06"/>
    <w:pPr>
      <w:keepNext/>
      <w:spacing w:before="240" w:after="60"/>
      <w:outlineLvl w:val="1"/>
    </w:pPr>
    <w:rPr>
      <w:rFonts w:ascii="Tele-GroteskFet" w:hAnsi="Tele-GroteskFet" w:cs="Arial"/>
      <w:bCs/>
      <w:iCs/>
      <w:sz w:val="32"/>
      <w:szCs w:val="28"/>
    </w:rPr>
  </w:style>
  <w:style w:type="paragraph" w:styleId="Nadpis3">
    <w:name w:val="heading 3"/>
    <w:basedOn w:val="Normlny"/>
    <w:next w:val="Normlny"/>
    <w:qFormat/>
    <w:rsid w:val="00FD0A06"/>
    <w:pPr>
      <w:keepNext/>
      <w:spacing w:before="240" w:after="60"/>
      <w:outlineLvl w:val="2"/>
    </w:pPr>
    <w:rPr>
      <w:rFonts w:ascii="Tele-GroteskFet" w:hAnsi="Tele-GroteskFet" w:cs="Arial"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Vcerovov">
    <w:name w:val="Víceúrovňové"/>
    <w:basedOn w:val="Bezzoznamu"/>
    <w:rsid w:val="001F1670"/>
    <w:pPr>
      <w:numPr>
        <w:numId w:val="8"/>
      </w:numPr>
    </w:pPr>
  </w:style>
  <w:style w:type="paragraph" w:styleId="Bezriadkovania">
    <w:name w:val="No Spacing"/>
    <w:uiPriority w:val="1"/>
    <w:qFormat/>
    <w:rsid w:val="00FD0A06"/>
    <w:rPr>
      <w:rFonts w:ascii="Tele-GroteskNor" w:hAnsi="Tele-GroteskNor"/>
      <w:szCs w:val="24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D0A06"/>
    <w:pPr>
      <w:numPr>
        <w:ilvl w:val="1"/>
      </w:numPr>
    </w:pPr>
    <w:rPr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FD0A06"/>
    <w:rPr>
      <w:rFonts w:ascii="Tele-GroteskNor" w:eastAsia="Times New Roman" w:hAnsi="Tele-GroteskNor" w:cs="Times New Roman"/>
      <w:i/>
      <w:iCs/>
      <w:color w:val="4F81BD"/>
      <w:spacing w:val="15"/>
      <w:sz w:val="24"/>
      <w:szCs w:val="24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FD0A06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D0A06"/>
    <w:rPr>
      <w:rFonts w:ascii="Tele-GroteskNor" w:eastAsia="Times New Roman" w:hAnsi="Tele-GroteskNor" w:cs="Times New Roman"/>
      <w:color w:val="17365D"/>
      <w:spacing w:val="5"/>
      <w:kern w:val="28"/>
      <w:sz w:val="52"/>
      <w:szCs w:val="52"/>
      <w:lang w:eastAsia="en-US"/>
    </w:rPr>
  </w:style>
  <w:style w:type="paragraph" w:styleId="Hlavika">
    <w:name w:val="header"/>
    <w:basedOn w:val="Normlny"/>
    <w:link w:val="HlavikaChar"/>
    <w:rsid w:val="00C573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57367"/>
    <w:rPr>
      <w:lang w:eastAsia="de-AT"/>
    </w:rPr>
  </w:style>
  <w:style w:type="paragraph" w:styleId="Obyajntext">
    <w:name w:val="Plain Text"/>
    <w:basedOn w:val="Normlny"/>
    <w:link w:val="ObyajntextChar"/>
    <w:rsid w:val="00C57367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rsid w:val="00C57367"/>
    <w:rPr>
      <w:rFonts w:ascii="Courier New" w:hAnsi="Courier New"/>
      <w:lang w:eastAsia="de-AT"/>
    </w:rPr>
  </w:style>
  <w:style w:type="character" w:styleId="Odkaznakomentr">
    <w:name w:val="annotation reference"/>
    <w:semiHidden/>
    <w:rsid w:val="00C573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57367"/>
  </w:style>
  <w:style w:type="character" w:customStyle="1" w:styleId="TextkomentraChar">
    <w:name w:val="Text komentára Char"/>
    <w:basedOn w:val="Predvolenpsmoodseku"/>
    <w:link w:val="Textkomentra"/>
    <w:uiPriority w:val="99"/>
    <w:rsid w:val="00C57367"/>
    <w:rPr>
      <w:lang w:eastAsia="de-AT"/>
    </w:rPr>
  </w:style>
  <w:style w:type="paragraph" w:customStyle="1" w:styleId="Default">
    <w:name w:val="Default"/>
    <w:rsid w:val="00C57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5736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73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7367"/>
    <w:rPr>
      <w:rFonts w:ascii="Tahoma" w:hAnsi="Tahoma" w:cs="Tahoma"/>
      <w:sz w:val="16"/>
      <w:szCs w:val="16"/>
      <w:lang w:eastAsia="de-AT"/>
    </w:rPr>
  </w:style>
  <w:style w:type="paragraph" w:styleId="Zkladntext2">
    <w:name w:val="Body Text 2"/>
    <w:basedOn w:val="Normlny"/>
    <w:link w:val="Zkladntext2Char"/>
    <w:semiHidden/>
    <w:rsid w:val="00997794"/>
    <w:pPr>
      <w:spacing w:line="360" w:lineRule="auto"/>
      <w:ind w:left="470" w:right="-1" w:hanging="357"/>
      <w:jc w:val="both"/>
    </w:pPr>
    <w:rPr>
      <w:rFonts w:ascii="Arial" w:hAnsi="Arial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997794"/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7826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26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26D2"/>
    <w:rPr>
      <w:b/>
      <w:bCs/>
      <w:lang w:eastAsia="de-AT"/>
    </w:rPr>
  </w:style>
  <w:style w:type="paragraph" w:customStyle="1" w:styleId="lnokzmluvy">
    <w:name w:val="Článok zmluvy"/>
    <w:rsid w:val="005C5197"/>
    <w:pPr>
      <w:jc w:val="both"/>
    </w:pPr>
    <w:rPr>
      <w:lang w:eastAsia="en-US"/>
    </w:rPr>
  </w:style>
  <w:style w:type="paragraph" w:styleId="Revzia">
    <w:name w:val="Revision"/>
    <w:hidden/>
    <w:uiPriority w:val="99"/>
    <w:semiHidden/>
    <w:rsid w:val="007D3C17"/>
    <w:rPr>
      <w:lang w:eastAsia="de-AT"/>
    </w:rPr>
  </w:style>
  <w:style w:type="paragraph" w:styleId="Pta">
    <w:name w:val="footer"/>
    <w:basedOn w:val="Normlny"/>
    <w:link w:val="PtaChar"/>
    <w:uiPriority w:val="99"/>
    <w:unhideWhenUsed/>
    <w:rsid w:val="002454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541F"/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gistracia.sk@generali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lekom.sk/poisten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5098F-D336-4286-98B4-B786C2CA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2969</Words>
  <Characters>18021</Characters>
  <Application>Microsoft Office Word</Application>
  <DocSecurity>4</DocSecurity>
  <Lines>150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 Telekom, a.s.</Company>
  <LinksUpToDate>false</LinksUpToDate>
  <CharactersWithSpaces>20949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dominika.bezakova</dc:creator>
  <cp:lastModifiedBy>Janstova Zuzana</cp:lastModifiedBy>
  <cp:revision>2</cp:revision>
  <cp:lastPrinted>2015-01-13T16:43:00Z</cp:lastPrinted>
  <dcterms:created xsi:type="dcterms:W3CDTF">2015-11-26T14:39:00Z</dcterms:created>
  <dcterms:modified xsi:type="dcterms:W3CDTF">2015-11-26T14:39:00Z</dcterms:modified>
</cp:coreProperties>
</file>